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06B" w:rsidRDefault="00A2006B">
      <w:pPr>
        <w:jc w:val="both"/>
        <w:rPr>
          <w:rFonts w:ascii="Calibri" w:eastAsia="Calibri" w:hAnsi="Calibri" w:cs="Calibri"/>
          <w:b/>
          <w:color w:val="363636"/>
        </w:rPr>
      </w:pPr>
    </w:p>
    <w:p w:rsidR="00A2006B" w:rsidRDefault="00945A56">
      <w:pPr>
        <w:pStyle w:val="Heading1"/>
        <w:shd w:val="clear" w:color="auto" w:fill="B7DDE8"/>
        <w:spacing w:before="120"/>
        <w:rPr>
          <w:rFonts w:ascii="Calibri" w:eastAsia="Calibri" w:hAnsi="Calibri" w:cs="Calibri"/>
          <w:b/>
          <w:color w:val="4F81BD"/>
        </w:rPr>
      </w:pPr>
      <w:r>
        <w:rPr>
          <w:rFonts w:ascii="Calibri" w:eastAsia="Calibri" w:hAnsi="Calibri" w:cs="Calibri"/>
          <w:b/>
          <w:color w:val="4F81BD"/>
        </w:rPr>
        <w:t>Session 3B</w:t>
      </w:r>
      <w:r w:rsidR="00B041D2">
        <w:rPr>
          <w:rFonts w:ascii="Calibri" w:eastAsia="Calibri" w:hAnsi="Calibri" w:cs="Calibri"/>
          <w:b/>
          <w:color w:val="4F81BD"/>
        </w:rPr>
        <w:t>.</w:t>
      </w:r>
      <w:r w:rsidR="00B041D2">
        <w:rPr>
          <w:rFonts w:ascii="Calibri" w:eastAsia="Calibri" w:hAnsi="Calibri" w:cs="Calibri"/>
          <w:b/>
          <w:color w:val="4F81BD"/>
        </w:rPr>
        <w:tab/>
      </w:r>
      <w:r w:rsidR="00B041D2">
        <w:rPr>
          <w:rFonts w:ascii="Abadi" w:eastAsia="Abadi" w:hAnsi="Abadi" w:cs="Abadi"/>
        </w:rPr>
        <w:t xml:space="preserve"> </w:t>
      </w:r>
      <w:r>
        <w:rPr>
          <w:rFonts w:ascii="Calibri" w:eastAsia="Calibri" w:hAnsi="Calibri" w:cs="Calibri"/>
          <w:b/>
          <w:color w:val="4F81BD"/>
        </w:rPr>
        <w:t>Wednesday 1 May 2019, 2.00pm – 5.0</w:t>
      </w:r>
      <w:bookmarkStart w:id="0" w:name="_GoBack"/>
      <w:bookmarkEnd w:id="0"/>
      <w:r w:rsidR="00B041D2">
        <w:rPr>
          <w:rFonts w:ascii="Calibri" w:eastAsia="Calibri" w:hAnsi="Calibri" w:cs="Calibri"/>
          <w:b/>
          <w:color w:val="4F81BD"/>
        </w:rPr>
        <w:t xml:space="preserve">0pm </w:t>
      </w:r>
    </w:p>
    <w:p w:rsidR="00A2006B" w:rsidRDefault="00B041D2">
      <w:pPr>
        <w:pStyle w:val="Heading1"/>
        <w:shd w:val="clear" w:color="auto" w:fill="B7DDE8"/>
        <w:spacing w:before="0" w:after="120"/>
        <w:rPr>
          <w:rFonts w:ascii="Calibri" w:eastAsia="Calibri" w:hAnsi="Calibri" w:cs="Calibri"/>
          <w:b/>
          <w:color w:val="4F81BD"/>
          <w:sz w:val="24"/>
          <w:szCs w:val="24"/>
        </w:rPr>
      </w:pPr>
      <w:r>
        <w:rPr>
          <w:rFonts w:ascii="Calibri" w:eastAsia="Calibri" w:hAnsi="Calibri" w:cs="Calibri"/>
          <w:b/>
          <w:color w:val="4F81BD"/>
          <w:sz w:val="24"/>
          <w:szCs w:val="24"/>
        </w:rPr>
        <w:t>Oceania Pavilion</w:t>
      </w:r>
    </w:p>
    <w:p w:rsidR="00A2006B" w:rsidRDefault="00B041D2">
      <w:pPr>
        <w:shd w:val="clear" w:color="auto" w:fill="B7DDE8"/>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Calibri" w:eastAsia="Calibri" w:hAnsi="Calibri" w:cs="Calibri"/>
          <w:b/>
        </w:rPr>
      </w:pPr>
      <w:r>
        <w:rPr>
          <w:rFonts w:ascii="Cambria" w:eastAsia="Cambria" w:hAnsi="Cambria" w:cs="Cambria"/>
          <w:i/>
          <w:color w:val="4F81BD"/>
          <w:sz w:val="36"/>
          <w:szCs w:val="36"/>
        </w:rPr>
        <w:t>EU-GCCA+: Nature Based solutions as adaptation strategies for the Pacific region</w:t>
      </w:r>
    </w:p>
    <w:p w:rsidR="00A2006B" w:rsidRDefault="00A2006B">
      <w:pPr>
        <w:jc w:val="both"/>
        <w:rPr>
          <w:rFonts w:ascii="Calibri" w:eastAsia="Calibri" w:hAnsi="Calibri" w:cs="Calibri"/>
        </w:rPr>
      </w:pPr>
      <w:bookmarkStart w:id="1" w:name="_gjdgxs" w:colFirst="0" w:colLast="0"/>
      <w:bookmarkEnd w:id="1"/>
    </w:p>
    <w:p w:rsidR="00A2006B" w:rsidRDefault="00B041D2">
      <w:pPr>
        <w:rPr>
          <w:rFonts w:ascii="Calibri" w:eastAsia="Calibri" w:hAnsi="Calibri" w:cs="Calibri"/>
          <w:b/>
        </w:rPr>
      </w:pPr>
      <w:r>
        <w:rPr>
          <w:rFonts w:ascii="Calibri" w:eastAsia="Calibri" w:hAnsi="Calibri" w:cs="Calibri"/>
          <w:b/>
        </w:rPr>
        <w:t>Background</w:t>
      </w:r>
    </w:p>
    <w:p w:rsidR="00A2006B" w:rsidRDefault="00A2006B">
      <w:pPr>
        <w:jc w:val="both"/>
        <w:rPr>
          <w:rFonts w:ascii="Calibri" w:eastAsia="Calibri" w:hAnsi="Calibri" w:cs="Calibri"/>
        </w:rPr>
      </w:pPr>
    </w:p>
    <w:p w:rsidR="00A2006B" w:rsidRDefault="00B041D2">
      <w:pPr>
        <w:jc w:val="both"/>
        <w:rPr>
          <w:rFonts w:ascii="Calibri" w:eastAsia="Calibri" w:hAnsi="Calibri" w:cs="Calibri"/>
        </w:rPr>
      </w:pPr>
      <w:bookmarkStart w:id="2" w:name="_30j0zll" w:colFirst="0" w:colLast="0"/>
      <w:bookmarkEnd w:id="2"/>
      <w:r>
        <w:rPr>
          <w:rFonts w:ascii="Calibri" w:eastAsia="Calibri" w:hAnsi="Calibri" w:cs="Calibri"/>
        </w:rPr>
        <w:t>Nature-based Solutions (NbS) are defined by IUCN as actions to protect, sustainably manage and restore natural or modified ecosystems, which address societal challenges (e.g. climate change, food and water security or natural disasters) effectively and ada</w:t>
      </w:r>
      <w:r>
        <w:rPr>
          <w:rFonts w:ascii="Calibri" w:eastAsia="Calibri" w:hAnsi="Calibri" w:cs="Calibri"/>
        </w:rPr>
        <w:t>ptively, while simultaneously providing human well-being and biodiversity benefits. The NbS concept, as used in environmental sciences and nature conservation contexts, has emerged within the last decade or so, as international organizations search for way</w:t>
      </w:r>
      <w:r>
        <w:rPr>
          <w:rFonts w:ascii="Calibri" w:eastAsia="Calibri" w:hAnsi="Calibri" w:cs="Calibri"/>
        </w:rPr>
        <w:t xml:space="preserve">s to work with ecosystems – rather than relying on conventional engineering solutions (such as seawalls) – to adapt to and mitigate climate change effects, while improving sustainable livelihoods and protecting natural ecosystems and biodiversity. </w:t>
      </w:r>
    </w:p>
    <w:p w:rsidR="00A2006B" w:rsidRDefault="00A2006B">
      <w:pPr>
        <w:jc w:val="both"/>
        <w:rPr>
          <w:rFonts w:ascii="Calibri" w:eastAsia="Calibri" w:hAnsi="Calibri" w:cs="Calibri"/>
        </w:rPr>
      </w:pPr>
    </w:p>
    <w:p w:rsidR="00A2006B" w:rsidRDefault="00B041D2">
      <w:pPr>
        <w:jc w:val="both"/>
        <w:rPr>
          <w:rFonts w:ascii="Calibri" w:eastAsia="Calibri" w:hAnsi="Calibri" w:cs="Calibri"/>
        </w:rPr>
      </w:pPr>
      <w:r>
        <w:rPr>
          <w:rFonts w:ascii="Calibri" w:eastAsia="Calibri" w:hAnsi="Calibri" w:cs="Calibri"/>
        </w:rPr>
        <w:t>The EU</w:t>
      </w:r>
      <w:r>
        <w:rPr>
          <w:rFonts w:ascii="Calibri" w:eastAsia="Calibri" w:hAnsi="Calibri" w:cs="Calibri"/>
        </w:rPr>
        <w:t xml:space="preserve"> Research and Innovation policy agenda on NbS and Re-Naturing Cities aims to position the EU as leader in ‘Innovating with nature’ for more sustainable and resilient societies. In this context, the EU define NbS to societal challenges as solutions that are</w:t>
      </w:r>
      <w:r>
        <w:rPr>
          <w:rFonts w:ascii="Calibri" w:eastAsia="Calibri" w:hAnsi="Calibri" w:cs="Calibri"/>
        </w:rPr>
        <w:t xml:space="preserve"> inspired and supported by nature, which are cost-effective, simultaneously provide environmental, social and economic benefits and help build resilience. Such solutions bring more, and more diverse, nature and natural features and processes into cities, l</w:t>
      </w:r>
      <w:r>
        <w:rPr>
          <w:rFonts w:ascii="Calibri" w:eastAsia="Calibri" w:hAnsi="Calibri" w:cs="Calibri"/>
        </w:rPr>
        <w:t>andscapes and seascapes, through locally adapted, resource-efficient and systemic interventions.</w:t>
      </w:r>
    </w:p>
    <w:p w:rsidR="00A2006B" w:rsidRDefault="00A2006B">
      <w:pPr>
        <w:jc w:val="both"/>
        <w:rPr>
          <w:rFonts w:ascii="Calibri" w:eastAsia="Calibri" w:hAnsi="Calibri" w:cs="Calibri"/>
        </w:rPr>
      </w:pPr>
    </w:p>
    <w:p w:rsidR="00A2006B" w:rsidRDefault="00B041D2">
      <w:pPr>
        <w:jc w:val="both"/>
        <w:rPr>
          <w:rFonts w:ascii="Calibri" w:eastAsia="Calibri" w:hAnsi="Calibri" w:cs="Calibri"/>
        </w:rPr>
      </w:pPr>
      <w:r>
        <w:rPr>
          <w:rFonts w:ascii="Calibri" w:eastAsia="Calibri" w:hAnsi="Calibri" w:cs="Calibri"/>
        </w:rPr>
        <w:t>These NbS approaches can be classified into: (i) ecosystem restoration approaches (e.g. ecological restoration, ecological engineering and forest landscape re</w:t>
      </w:r>
      <w:r>
        <w:rPr>
          <w:rFonts w:ascii="Calibri" w:eastAsia="Calibri" w:hAnsi="Calibri" w:cs="Calibri"/>
        </w:rPr>
        <w:t>storation); (ii) issue specific ecosystem-related approaches (e.g. ecosystem-based adaptation, ecosystem-based mitigation, and ecosystem-based disaster risk reduction); (iii) infrastructure-related approaches (e.g. natural infrastructure and green infrastr</w:t>
      </w:r>
      <w:r>
        <w:rPr>
          <w:rFonts w:ascii="Calibri" w:eastAsia="Calibri" w:hAnsi="Calibri" w:cs="Calibri"/>
        </w:rPr>
        <w:t>ucture approaches); (iv) ecosystem-based management approaches (e.g. integrated coastal zone management and integrated water resources management); and (v) ecosystem protection approaches (e.g. area-based conservation approaches including protected area ma</w:t>
      </w:r>
      <w:r>
        <w:rPr>
          <w:rFonts w:ascii="Calibri" w:eastAsia="Calibri" w:hAnsi="Calibri" w:cs="Calibri"/>
        </w:rPr>
        <w:t>nagement).</w:t>
      </w:r>
    </w:p>
    <w:p w:rsidR="00A2006B" w:rsidRDefault="00A2006B">
      <w:pPr>
        <w:jc w:val="both"/>
        <w:rPr>
          <w:rFonts w:ascii="Calibri" w:eastAsia="Calibri" w:hAnsi="Calibri" w:cs="Calibri"/>
        </w:rPr>
      </w:pPr>
    </w:p>
    <w:p w:rsidR="00A2006B" w:rsidRDefault="00B041D2">
      <w:pPr>
        <w:jc w:val="both"/>
        <w:rPr>
          <w:rFonts w:ascii="Calibri" w:eastAsia="Calibri" w:hAnsi="Calibri" w:cs="Calibri"/>
        </w:rPr>
      </w:pPr>
      <w:r>
        <w:rPr>
          <w:rFonts w:ascii="Calibri" w:eastAsia="Calibri" w:hAnsi="Calibri" w:cs="Calibri"/>
        </w:rPr>
        <w:t xml:space="preserve">A lack of operational clarity presents a major obstacle to the credibility and applicability of new concepts in the fields of conservation and development. Several parallel exercises are currently underway to develop operational parameters for </w:t>
      </w:r>
      <w:r>
        <w:rPr>
          <w:rFonts w:ascii="Calibri" w:eastAsia="Calibri" w:hAnsi="Calibri" w:cs="Calibri"/>
        </w:rPr>
        <w:t xml:space="preserve">specific NbS approaches (such as Ecosystem-based Adaptation and REDD+), each proposing its own set of criteria. Many of these criteria could </w:t>
      </w:r>
      <w:r>
        <w:rPr>
          <w:rFonts w:ascii="Calibri" w:eastAsia="Calibri" w:hAnsi="Calibri" w:cs="Calibri"/>
        </w:rPr>
        <w:lastRenderedPageBreak/>
        <w:t>be relevant for other approaches within the NbS ‘family’ and there is likely an overarching set of parameters, or ‘</w:t>
      </w:r>
      <w:r>
        <w:rPr>
          <w:rFonts w:ascii="Calibri" w:eastAsia="Calibri" w:hAnsi="Calibri" w:cs="Calibri"/>
        </w:rPr>
        <w:t xml:space="preserve">standards’, that can guide implementation of xiii all types of NbS interventions. </w:t>
      </w:r>
    </w:p>
    <w:p w:rsidR="00A2006B" w:rsidRDefault="00A2006B">
      <w:pPr>
        <w:jc w:val="both"/>
        <w:rPr>
          <w:rFonts w:ascii="Calibri" w:eastAsia="Calibri" w:hAnsi="Calibri" w:cs="Calibri"/>
        </w:rPr>
      </w:pPr>
    </w:p>
    <w:p w:rsidR="00A2006B" w:rsidRDefault="00B041D2">
      <w:pPr>
        <w:jc w:val="both"/>
        <w:rPr>
          <w:rFonts w:ascii="Calibri" w:eastAsia="Calibri" w:hAnsi="Calibri" w:cs="Calibri"/>
        </w:rPr>
      </w:pPr>
      <w:r>
        <w:rPr>
          <w:rFonts w:ascii="Calibri" w:eastAsia="Calibri" w:hAnsi="Calibri" w:cs="Calibri"/>
        </w:rPr>
        <w:t>To help in this endeavor, this session will explore the current progress and challenges of NbS planning, implementation, financing and sustainability in the Pacific region.</w:t>
      </w:r>
      <w:r>
        <w:rPr>
          <w:rFonts w:ascii="Calibri" w:eastAsia="Calibri" w:hAnsi="Calibri" w:cs="Calibri"/>
        </w:rPr>
        <w:t xml:space="preserve"> In particular, this session will discuss some key five NbS parameters: ecological complexity, long-term stability, scale of ecological organization, direct societal benefits and adaptive governance. Finally, this session strives to review and assess the b</w:t>
      </w:r>
      <w:r>
        <w:rPr>
          <w:rFonts w:ascii="Calibri" w:eastAsia="Calibri" w:hAnsi="Calibri" w:cs="Calibri"/>
        </w:rPr>
        <w:t xml:space="preserve">est NbS- operational framework in the Pacific, so to scale up NbS implementation and strengthen their impact in the region. </w:t>
      </w:r>
    </w:p>
    <w:p w:rsidR="00A2006B" w:rsidRDefault="00A2006B">
      <w:pPr>
        <w:rPr>
          <w:rFonts w:ascii="Calibri" w:eastAsia="Calibri" w:hAnsi="Calibri" w:cs="Calibri"/>
        </w:rPr>
      </w:pPr>
    </w:p>
    <w:p w:rsidR="00A2006B" w:rsidRDefault="00B041D2">
      <w:pPr>
        <w:jc w:val="center"/>
        <w:rPr>
          <w:rFonts w:ascii="Calibri" w:eastAsia="Calibri" w:hAnsi="Calibri" w:cs="Calibri"/>
          <w:b/>
        </w:rPr>
      </w:pPr>
      <w:r>
        <w:rPr>
          <w:rFonts w:ascii="Calibri" w:eastAsia="Calibri" w:hAnsi="Calibri" w:cs="Calibri"/>
          <w:b/>
        </w:rPr>
        <w:t>Session Objective</w:t>
      </w:r>
    </w:p>
    <w:p w:rsidR="00A2006B" w:rsidRDefault="00A2006B">
      <w:pPr>
        <w:rPr>
          <w:rFonts w:ascii="Calibri" w:eastAsia="Calibri" w:hAnsi="Calibri" w:cs="Calibri"/>
        </w:rPr>
      </w:pPr>
    </w:p>
    <w:p w:rsidR="00A2006B" w:rsidRDefault="00B041D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Review current progress, opportunities and challenges of NbS implementation and planning in the Pacific;</w:t>
      </w:r>
    </w:p>
    <w:p w:rsidR="00A2006B" w:rsidRDefault="00B041D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Discuss the technical, management and financial elements for successful and sustainable NbS in the region;</w:t>
      </w:r>
    </w:p>
    <w:p w:rsidR="00A2006B" w:rsidRDefault="00B041D2">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Stimulate technical and management cooperation for NbS among various stakeholders in the Pacific.</w:t>
      </w:r>
    </w:p>
    <w:p w:rsidR="00A2006B" w:rsidRDefault="00A2006B">
      <w:pPr>
        <w:rPr>
          <w:rFonts w:ascii="Calibri" w:eastAsia="Calibri" w:hAnsi="Calibri" w:cs="Calibri"/>
        </w:rPr>
      </w:pPr>
    </w:p>
    <w:p w:rsidR="00945A56" w:rsidRPr="00945A56" w:rsidRDefault="00945A56" w:rsidP="00945A56">
      <w:pPr>
        <w:jc w:val="center"/>
        <w:rPr>
          <w:rFonts w:ascii="Calibri" w:eastAsia="Calibri" w:hAnsi="Calibri"/>
          <w:b/>
          <w:sz w:val="20"/>
          <w:szCs w:val="20"/>
          <w:lang w:eastAsia="en-US"/>
        </w:rPr>
      </w:pPr>
      <w:bookmarkStart w:id="3" w:name="_1fob9te" w:colFirst="0" w:colLast="0"/>
      <w:bookmarkEnd w:id="3"/>
      <w:r w:rsidRPr="00945A56">
        <w:rPr>
          <w:rFonts w:ascii="Calibri" w:eastAsia="Calibri" w:hAnsi="Calibri"/>
          <w:b/>
          <w:sz w:val="20"/>
          <w:szCs w:val="20"/>
          <w:lang w:eastAsia="en-US"/>
        </w:rPr>
        <w:t xml:space="preserve">Session structure </w:t>
      </w:r>
    </w:p>
    <w:p w:rsidR="00945A56" w:rsidRPr="00945A56" w:rsidRDefault="00945A56" w:rsidP="00945A56">
      <w:pPr>
        <w:rPr>
          <w:rFonts w:ascii="Calibri" w:eastAsia="Calibri" w:hAnsi="Calibri"/>
          <w:sz w:val="20"/>
          <w:szCs w:val="20"/>
          <w:lang w:eastAsia="en-US"/>
        </w:rPr>
      </w:pPr>
    </w:p>
    <w:tbl>
      <w:tblPr>
        <w:tblW w:w="1011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8852"/>
      </w:tblGrid>
      <w:tr w:rsidR="00945A56" w:rsidRPr="00945A56" w:rsidTr="00211FCE">
        <w:trPr>
          <w:trHeight w:val="379"/>
        </w:trPr>
        <w:tc>
          <w:tcPr>
            <w:tcW w:w="1260" w:type="dxa"/>
            <w:shd w:val="clear" w:color="auto" w:fill="00B0F0"/>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Time</w:t>
            </w:r>
          </w:p>
        </w:tc>
        <w:tc>
          <w:tcPr>
            <w:tcW w:w="8852" w:type="dxa"/>
            <w:shd w:val="clear" w:color="auto" w:fill="00B0F0"/>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Items</w:t>
            </w:r>
          </w:p>
        </w:tc>
      </w:tr>
      <w:tr w:rsidR="00945A56" w:rsidRPr="00945A56" w:rsidTr="00211FCE">
        <w:trPr>
          <w:trHeight w:val="379"/>
        </w:trPr>
        <w:tc>
          <w:tcPr>
            <w:tcW w:w="1260"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14-14:10</w:t>
            </w:r>
          </w:p>
        </w:tc>
        <w:tc>
          <w:tcPr>
            <w:tcW w:w="8852"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Session presentation (Objective, expected results, session structure)</w:t>
            </w:r>
          </w:p>
        </w:tc>
      </w:tr>
      <w:tr w:rsidR="00945A56" w:rsidRPr="00945A56" w:rsidTr="00211FCE">
        <w:trPr>
          <w:trHeight w:val="541"/>
        </w:trPr>
        <w:tc>
          <w:tcPr>
            <w:tcW w:w="1260"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14:10-</w:t>
            </w:r>
          </w:p>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15:10</w:t>
            </w:r>
          </w:p>
        </w:tc>
        <w:tc>
          <w:tcPr>
            <w:tcW w:w="8852"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Selected Presentations on NbS in the Pacific:</w:t>
            </w:r>
          </w:p>
          <w:p w:rsidR="00945A56" w:rsidRPr="00945A56" w:rsidRDefault="00945A56" w:rsidP="00945A56">
            <w:pPr>
              <w:jc w:val="center"/>
              <w:rPr>
                <w:rFonts w:ascii="Calibri" w:eastAsia="Calibri" w:hAnsi="Calibri"/>
                <w:sz w:val="20"/>
                <w:szCs w:val="20"/>
                <w:lang w:eastAsia="en-US"/>
              </w:rPr>
            </w:pPr>
          </w:p>
          <w:p w:rsidR="00945A56" w:rsidRPr="00945A56" w:rsidRDefault="00945A56" w:rsidP="00945A56">
            <w:pPr>
              <w:numPr>
                <w:ilvl w:val="0"/>
                <w:numId w:val="5"/>
              </w:numPr>
              <w:contextualSpacing/>
              <w:jc w:val="center"/>
              <w:rPr>
                <w:rFonts w:ascii="Calibri" w:eastAsia="Calibri" w:hAnsi="Calibri" w:cs="Calibri"/>
                <w:color w:val="000000"/>
                <w:sz w:val="20"/>
                <w:szCs w:val="20"/>
                <w:lang w:eastAsia="en-US"/>
              </w:rPr>
            </w:pPr>
            <w:r w:rsidRPr="00945A56">
              <w:rPr>
                <w:rFonts w:ascii="Calibri" w:eastAsia="Calibri" w:hAnsi="Calibri" w:cs="Calibri"/>
                <w:b/>
                <w:color w:val="000000"/>
                <w:sz w:val="20"/>
                <w:szCs w:val="20"/>
                <w:lang w:eastAsia="en-US"/>
              </w:rPr>
              <w:t xml:space="preserve">Mr. </w:t>
            </w:r>
            <w:r w:rsidRPr="00945A56">
              <w:rPr>
                <w:rFonts w:ascii="Calibri" w:eastAsia="Calibri" w:hAnsi="Calibri" w:cs="Calibri"/>
                <w:b/>
                <w:color w:val="000000"/>
                <w:sz w:val="20"/>
                <w:szCs w:val="20"/>
                <w:shd w:val="clear" w:color="auto" w:fill="FFFFFF"/>
                <w:lang w:eastAsia="en-US"/>
              </w:rPr>
              <w:t>Stuart Chape</w:t>
            </w:r>
            <w:r w:rsidRPr="00945A56">
              <w:rPr>
                <w:rFonts w:ascii="Calibri" w:eastAsia="Calibri" w:hAnsi="Calibri" w:cs="Calibri"/>
                <w:color w:val="000000"/>
                <w:sz w:val="20"/>
                <w:szCs w:val="20"/>
                <w:shd w:val="clear" w:color="auto" w:fill="FFFFFF"/>
                <w:lang w:eastAsia="en-US"/>
              </w:rPr>
              <w:t>, SPREP Acting Deputy Director General Strategic Programmes and Director Islands and Ocean Ecosystems Programme,</w:t>
            </w:r>
          </w:p>
          <w:p w:rsidR="00945A56" w:rsidRPr="00945A56" w:rsidRDefault="00945A56" w:rsidP="00945A56">
            <w:pPr>
              <w:ind w:left="360"/>
              <w:jc w:val="center"/>
              <w:rPr>
                <w:rFonts w:ascii="Calibri" w:eastAsia="Calibri" w:hAnsi="Calibri" w:cs="Calibri"/>
                <w:b/>
                <w:color w:val="000000"/>
                <w:sz w:val="20"/>
                <w:szCs w:val="20"/>
                <w:lang w:eastAsia="en-US"/>
              </w:rPr>
            </w:pPr>
            <w:r w:rsidRPr="00945A56">
              <w:rPr>
                <w:rFonts w:ascii="Calibri" w:eastAsia="Calibri" w:hAnsi="Calibri" w:cs="Calibri"/>
                <w:b/>
                <w:color w:val="000000"/>
                <w:sz w:val="20"/>
                <w:szCs w:val="20"/>
                <w:lang w:eastAsia="en-US"/>
              </w:rPr>
              <w:t>NbS in the Pacific: opportunities and challenges</w:t>
            </w:r>
          </w:p>
          <w:p w:rsidR="00945A56" w:rsidRPr="00945A56" w:rsidRDefault="00945A56" w:rsidP="00945A56">
            <w:pPr>
              <w:ind w:left="720"/>
              <w:contextualSpacing/>
              <w:rPr>
                <w:rFonts w:ascii="Calibri" w:eastAsia="Calibri" w:hAnsi="Calibri" w:cs="Calibri"/>
                <w:color w:val="000000"/>
                <w:sz w:val="20"/>
                <w:szCs w:val="20"/>
                <w:lang w:eastAsia="en-US"/>
              </w:rPr>
            </w:pPr>
          </w:p>
          <w:p w:rsidR="00945A56" w:rsidRPr="00945A56" w:rsidRDefault="00945A56" w:rsidP="00945A56">
            <w:pPr>
              <w:numPr>
                <w:ilvl w:val="0"/>
                <w:numId w:val="5"/>
              </w:numPr>
              <w:contextualSpacing/>
              <w:jc w:val="center"/>
              <w:rPr>
                <w:rFonts w:ascii="Calibri" w:eastAsia="Calibri" w:hAnsi="Calibri" w:cs="Calibri"/>
                <w:color w:val="000000"/>
                <w:sz w:val="20"/>
                <w:szCs w:val="20"/>
                <w:lang w:eastAsia="en-US"/>
              </w:rPr>
            </w:pPr>
            <w:r w:rsidRPr="00945A56">
              <w:rPr>
                <w:rFonts w:ascii="Calibri" w:eastAsia="Calibri" w:hAnsi="Calibri" w:cs="Calibri"/>
                <w:b/>
                <w:color w:val="000000"/>
                <w:sz w:val="20"/>
                <w:szCs w:val="20"/>
                <w:lang w:eastAsia="en-US"/>
              </w:rPr>
              <w:t>Dr. Andrew Foran</w:t>
            </w:r>
            <w:r w:rsidRPr="00945A56">
              <w:rPr>
                <w:rFonts w:ascii="Calibri" w:eastAsia="Calibri" w:hAnsi="Calibri" w:cs="Calibri"/>
                <w:color w:val="000000"/>
                <w:sz w:val="20"/>
                <w:szCs w:val="20"/>
                <w:lang w:eastAsia="en-US"/>
              </w:rPr>
              <w:t>, IUCN &amp;</w:t>
            </w:r>
          </w:p>
          <w:p w:rsidR="00945A56" w:rsidRPr="00945A56" w:rsidRDefault="00945A56" w:rsidP="00945A56">
            <w:pPr>
              <w:ind w:left="360"/>
              <w:jc w:val="center"/>
              <w:rPr>
                <w:rFonts w:ascii="Calibri" w:eastAsia="Calibri" w:hAnsi="Calibri" w:cs="Calibri"/>
                <w:b/>
                <w:color w:val="000000"/>
                <w:sz w:val="20"/>
                <w:szCs w:val="20"/>
                <w:lang w:eastAsia="en-US"/>
              </w:rPr>
            </w:pPr>
            <w:r w:rsidRPr="00945A56">
              <w:rPr>
                <w:rFonts w:ascii="Calibri" w:eastAsia="Calibri" w:hAnsi="Calibri" w:cs="Calibri"/>
                <w:b/>
                <w:color w:val="000000"/>
                <w:sz w:val="20"/>
                <w:szCs w:val="20"/>
                <w:lang w:eastAsia="en-US"/>
              </w:rPr>
              <w:t>Mr Ulu Bismarck, CEO of the Ministry of Natural Resources and Environment</w:t>
            </w:r>
          </w:p>
          <w:p w:rsidR="00945A56" w:rsidRPr="00945A56" w:rsidRDefault="00945A56" w:rsidP="00945A56">
            <w:pPr>
              <w:ind w:left="720"/>
              <w:contextualSpacing/>
              <w:jc w:val="center"/>
              <w:rPr>
                <w:rFonts w:ascii="Calibri" w:eastAsia="Calibri" w:hAnsi="Calibri" w:cs="Calibri"/>
                <w:b/>
                <w:color w:val="000000"/>
                <w:sz w:val="20"/>
                <w:szCs w:val="20"/>
                <w:lang w:eastAsia="en-US"/>
              </w:rPr>
            </w:pPr>
            <w:r w:rsidRPr="00945A56">
              <w:rPr>
                <w:rFonts w:ascii="Calibri" w:eastAsia="Calibri" w:hAnsi="Calibri" w:cs="Calibri"/>
                <w:b/>
                <w:color w:val="000000"/>
                <w:sz w:val="20"/>
                <w:szCs w:val="20"/>
                <w:lang w:eastAsia="en-US"/>
              </w:rPr>
              <w:t>NbS and biodiversity conservation in the Pacific and Samoa</w:t>
            </w:r>
          </w:p>
          <w:p w:rsidR="00945A56" w:rsidRPr="00945A56" w:rsidRDefault="00945A56" w:rsidP="00945A56">
            <w:pPr>
              <w:ind w:left="720"/>
              <w:contextualSpacing/>
              <w:rPr>
                <w:rFonts w:ascii="Calibri" w:eastAsia="Calibri" w:hAnsi="Calibri" w:cs="Calibri"/>
                <w:color w:val="000000"/>
                <w:sz w:val="20"/>
                <w:szCs w:val="20"/>
                <w:lang w:eastAsia="en-US"/>
              </w:rPr>
            </w:pPr>
          </w:p>
          <w:p w:rsidR="00945A56" w:rsidRPr="00945A56" w:rsidRDefault="00945A56" w:rsidP="00945A56">
            <w:pPr>
              <w:numPr>
                <w:ilvl w:val="0"/>
                <w:numId w:val="5"/>
              </w:numPr>
              <w:contextualSpacing/>
              <w:jc w:val="center"/>
              <w:rPr>
                <w:rFonts w:ascii="Calibri" w:eastAsia="Calibri" w:hAnsi="Calibri" w:cs="Calibri"/>
                <w:color w:val="000000"/>
                <w:sz w:val="20"/>
                <w:szCs w:val="20"/>
                <w:lang w:eastAsia="en-US"/>
              </w:rPr>
            </w:pPr>
            <w:r w:rsidRPr="00945A56">
              <w:rPr>
                <w:rFonts w:ascii="Calibri" w:eastAsia="Calibri" w:hAnsi="Calibri" w:cs="Calibri"/>
                <w:b/>
                <w:color w:val="000000"/>
                <w:sz w:val="20"/>
                <w:szCs w:val="20"/>
                <w:lang w:eastAsia="en-US"/>
              </w:rPr>
              <w:t>Mr. Jonathan Landers,</w:t>
            </w:r>
            <w:r w:rsidRPr="00945A56">
              <w:rPr>
                <w:rFonts w:ascii="Calibri" w:eastAsia="Calibri" w:hAnsi="Calibri" w:cs="Calibri"/>
                <w:color w:val="000000"/>
                <w:sz w:val="20"/>
                <w:szCs w:val="20"/>
                <w:lang w:eastAsia="en-US"/>
              </w:rPr>
              <w:t xml:space="preserve"> The Blue Pledge Initiative </w:t>
            </w:r>
          </w:p>
          <w:p w:rsidR="00945A56" w:rsidRPr="00945A56" w:rsidRDefault="00945A56" w:rsidP="00945A56">
            <w:pPr>
              <w:ind w:left="360"/>
              <w:jc w:val="center"/>
              <w:rPr>
                <w:rFonts w:ascii="Calibri" w:eastAsia="Calibri" w:hAnsi="Calibri" w:cs="Calibri"/>
                <w:b/>
                <w:color w:val="000000"/>
                <w:sz w:val="20"/>
                <w:szCs w:val="20"/>
                <w:lang w:eastAsia="en-US"/>
              </w:rPr>
            </w:pPr>
            <w:r w:rsidRPr="00945A56">
              <w:rPr>
                <w:rFonts w:ascii="Calibri" w:eastAsia="Calibri" w:hAnsi="Calibri" w:cs="Calibri"/>
                <w:b/>
                <w:color w:val="000000"/>
                <w:sz w:val="20"/>
                <w:szCs w:val="20"/>
                <w:lang w:eastAsia="en-US"/>
              </w:rPr>
              <w:t>Private-Public partnerships and NbS: a win-win in the Pacific</w:t>
            </w:r>
          </w:p>
          <w:p w:rsidR="00945A56" w:rsidRPr="00945A56" w:rsidRDefault="00945A56" w:rsidP="00945A56">
            <w:pPr>
              <w:ind w:left="360"/>
              <w:jc w:val="center"/>
              <w:rPr>
                <w:rFonts w:ascii="Calibri" w:eastAsia="Calibri" w:hAnsi="Calibri" w:cs="Calibri"/>
                <w:b/>
                <w:color w:val="000000"/>
                <w:sz w:val="20"/>
                <w:szCs w:val="20"/>
                <w:lang w:eastAsia="en-US"/>
              </w:rPr>
            </w:pPr>
          </w:p>
          <w:p w:rsidR="00945A56" w:rsidRPr="00945A56" w:rsidRDefault="00945A56" w:rsidP="00945A56">
            <w:pPr>
              <w:shd w:val="clear" w:color="auto" w:fill="FFFFFF"/>
              <w:jc w:val="center"/>
              <w:rPr>
                <w:rFonts w:ascii="Calibri" w:eastAsia="Calibri" w:hAnsi="Calibri" w:cs="Calibri"/>
                <w:color w:val="000000"/>
                <w:sz w:val="20"/>
                <w:szCs w:val="20"/>
                <w:lang w:eastAsia="en-US"/>
              </w:rPr>
            </w:pPr>
            <w:r w:rsidRPr="00945A56">
              <w:rPr>
                <w:rFonts w:ascii="Calibri" w:eastAsia="Calibri" w:hAnsi="Calibri" w:cs="Calibri"/>
                <w:color w:val="000000"/>
                <w:sz w:val="20"/>
                <w:szCs w:val="20"/>
                <w:lang w:eastAsia="en-US"/>
              </w:rPr>
              <w:t>4.</w:t>
            </w:r>
            <w:r w:rsidRPr="00945A56">
              <w:rPr>
                <w:rFonts w:ascii="Calibri" w:eastAsia="Calibri" w:hAnsi="Calibri" w:cs="Calibri"/>
                <w:b/>
                <w:color w:val="000000"/>
                <w:sz w:val="20"/>
                <w:szCs w:val="20"/>
                <w:shd w:val="clear" w:color="auto" w:fill="FFFFFF"/>
                <w:lang w:eastAsia="en-US"/>
              </w:rPr>
              <w:t xml:space="preserve"> Manu Manuofeta </w:t>
            </w:r>
            <w:r w:rsidRPr="00945A56">
              <w:rPr>
                <w:rFonts w:ascii="Calibri" w:eastAsia="Calibri" w:hAnsi="Calibri" w:cs="Calibri"/>
                <w:color w:val="000000"/>
                <w:sz w:val="20"/>
                <w:szCs w:val="20"/>
                <w:shd w:val="clear" w:color="auto" w:fill="FFFFFF"/>
                <w:lang w:eastAsia="en-US"/>
              </w:rPr>
              <w:t>- U-GIZ ACSE In-Country Coordinator ,Climate change Department</w:t>
            </w:r>
          </w:p>
          <w:p w:rsidR="00945A56" w:rsidRPr="00945A56" w:rsidRDefault="00945A56" w:rsidP="00945A56">
            <w:pPr>
              <w:jc w:val="center"/>
              <w:rPr>
                <w:rFonts w:ascii="Calibri" w:eastAsia="Calibri" w:hAnsi="Calibri" w:cs="Calibri"/>
                <w:color w:val="000000"/>
                <w:sz w:val="20"/>
                <w:szCs w:val="20"/>
                <w:shd w:val="clear" w:color="auto" w:fill="FFFFFF"/>
                <w:lang w:eastAsia="en-US"/>
              </w:rPr>
            </w:pPr>
            <w:r w:rsidRPr="00945A56">
              <w:rPr>
                <w:rFonts w:ascii="Calibri" w:eastAsia="Calibri" w:hAnsi="Calibri" w:cs="Calibri"/>
                <w:color w:val="000000"/>
                <w:sz w:val="20"/>
                <w:szCs w:val="20"/>
                <w:shd w:val="clear" w:color="auto" w:fill="FFFFFF"/>
                <w:lang w:eastAsia="en-US"/>
              </w:rPr>
              <w:t xml:space="preserve">Government of the Kingdom of Tonga, </w:t>
            </w:r>
          </w:p>
          <w:p w:rsidR="00945A56" w:rsidRPr="00945A56" w:rsidRDefault="00945A56" w:rsidP="00945A56">
            <w:pPr>
              <w:jc w:val="center"/>
              <w:rPr>
                <w:rFonts w:ascii="Calibri" w:eastAsia="Calibri" w:hAnsi="Calibri" w:cs="Calibri"/>
                <w:b/>
                <w:color w:val="000000"/>
                <w:sz w:val="20"/>
                <w:szCs w:val="20"/>
                <w:shd w:val="clear" w:color="auto" w:fill="FFFFFF"/>
                <w:lang w:eastAsia="en-US"/>
              </w:rPr>
            </w:pPr>
            <w:r w:rsidRPr="00945A56">
              <w:rPr>
                <w:rFonts w:ascii="Calibri" w:eastAsia="Calibri" w:hAnsi="Calibri" w:cs="Calibri"/>
                <w:b/>
                <w:color w:val="000000"/>
                <w:sz w:val="20"/>
                <w:szCs w:val="20"/>
                <w:shd w:val="clear" w:color="auto" w:fill="FFFFFF"/>
                <w:lang w:eastAsia="en-US"/>
              </w:rPr>
              <w:t>Coastal Protection Trials in Western Tongatapu</w:t>
            </w:r>
          </w:p>
          <w:p w:rsidR="00945A56" w:rsidRPr="00945A56" w:rsidRDefault="00945A56" w:rsidP="00945A56">
            <w:pPr>
              <w:jc w:val="center"/>
              <w:rPr>
                <w:rFonts w:ascii="Calibri" w:eastAsia="Calibri" w:hAnsi="Calibri" w:cs="Calibri"/>
                <w:b/>
                <w:color w:val="000000"/>
                <w:sz w:val="20"/>
                <w:szCs w:val="20"/>
                <w:lang w:eastAsia="en-US"/>
              </w:rPr>
            </w:pPr>
          </w:p>
          <w:p w:rsidR="00945A56" w:rsidRPr="00945A56" w:rsidRDefault="00945A56" w:rsidP="00945A56">
            <w:pPr>
              <w:numPr>
                <w:ilvl w:val="0"/>
                <w:numId w:val="5"/>
              </w:numPr>
              <w:contextualSpacing/>
              <w:jc w:val="center"/>
              <w:rPr>
                <w:rFonts w:ascii="Calibri" w:eastAsia="Calibri" w:hAnsi="Calibri" w:cs="Calibri"/>
                <w:color w:val="000000"/>
                <w:sz w:val="20"/>
                <w:szCs w:val="20"/>
                <w:shd w:val="clear" w:color="auto" w:fill="FFFFFF"/>
                <w:lang w:eastAsia="en-US"/>
              </w:rPr>
            </w:pPr>
            <w:r w:rsidRPr="00945A56">
              <w:rPr>
                <w:rFonts w:ascii="Calibri" w:eastAsia="Calibri" w:hAnsi="Calibri" w:cs="Calibri"/>
                <w:b/>
                <w:color w:val="000000"/>
                <w:sz w:val="20"/>
                <w:szCs w:val="20"/>
                <w:shd w:val="clear" w:color="auto" w:fill="FFFFFF"/>
                <w:lang w:eastAsia="en-US"/>
              </w:rPr>
              <w:t>Mrs. Habiba Gitay</w:t>
            </w:r>
            <w:r w:rsidRPr="00945A56">
              <w:rPr>
                <w:rFonts w:ascii="Calibri" w:eastAsia="Calibri" w:hAnsi="Calibri" w:cs="Calibri"/>
                <w:color w:val="000000"/>
                <w:sz w:val="20"/>
                <w:szCs w:val="20"/>
                <w:shd w:val="clear" w:color="auto" w:fill="FFFFFF"/>
                <w:lang w:eastAsia="en-US"/>
              </w:rPr>
              <w:t xml:space="preserve">, Senior Climate Resilient Development Specialist, World Bank, </w:t>
            </w:r>
          </w:p>
          <w:p w:rsidR="00945A56" w:rsidRPr="00945A56" w:rsidRDefault="00945A56" w:rsidP="00945A56">
            <w:pPr>
              <w:jc w:val="center"/>
              <w:rPr>
                <w:rFonts w:ascii="Calibri" w:eastAsia="Calibri" w:hAnsi="Calibri" w:cs="Calibri"/>
                <w:b/>
                <w:color w:val="000000"/>
                <w:sz w:val="20"/>
                <w:szCs w:val="20"/>
                <w:lang w:eastAsia="en-US"/>
              </w:rPr>
            </w:pPr>
            <w:r w:rsidRPr="00945A56">
              <w:rPr>
                <w:rFonts w:ascii="Calibri" w:eastAsia="Calibri" w:hAnsi="Calibri" w:cs="Calibri"/>
                <w:b/>
                <w:color w:val="000000"/>
                <w:sz w:val="20"/>
                <w:szCs w:val="20"/>
                <w:shd w:val="clear" w:color="auto" w:fill="FFFFFF"/>
                <w:lang w:eastAsia="en-US"/>
              </w:rPr>
              <w:t>NbS Lessons Learnt in the Pacific</w:t>
            </w:r>
          </w:p>
          <w:p w:rsidR="00945A56" w:rsidRPr="00945A56" w:rsidRDefault="00945A56" w:rsidP="00945A56">
            <w:pPr>
              <w:jc w:val="center"/>
              <w:rPr>
                <w:rFonts w:ascii="Calibri" w:eastAsia="Calibri" w:hAnsi="Calibri"/>
                <w:color w:val="000000"/>
                <w:sz w:val="20"/>
                <w:szCs w:val="20"/>
                <w:lang w:eastAsia="en-US"/>
              </w:rPr>
            </w:pPr>
          </w:p>
          <w:p w:rsidR="00945A56" w:rsidRPr="00945A56" w:rsidRDefault="00945A56" w:rsidP="00945A56">
            <w:pPr>
              <w:jc w:val="center"/>
              <w:rPr>
                <w:rFonts w:ascii="Calibri" w:eastAsia="Calibri" w:hAnsi="Calibri"/>
                <w:i/>
                <w:color w:val="000000"/>
                <w:sz w:val="20"/>
                <w:szCs w:val="20"/>
                <w:lang w:eastAsia="en-US"/>
              </w:rPr>
            </w:pPr>
          </w:p>
          <w:p w:rsidR="00945A56" w:rsidRPr="00945A56" w:rsidRDefault="00945A56" w:rsidP="00945A56">
            <w:pPr>
              <w:jc w:val="center"/>
              <w:rPr>
                <w:rFonts w:ascii="Calibri" w:eastAsia="Calibri" w:hAnsi="Calibri"/>
                <w:sz w:val="20"/>
                <w:szCs w:val="20"/>
                <w:lang w:eastAsia="en-US"/>
              </w:rPr>
            </w:pPr>
          </w:p>
        </w:tc>
      </w:tr>
      <w:tr w:rsidR="00945A56" w:rsidRPr="00945A56" w:rsidTr="00211FCE">
        <w:trPr>
          <w:trHeight w:val="335"/>
        </w:trPr>
        <w:tc>
          <w:tcPr>
            <w:tcW w:w="1260" w:type="dxa"/>
            <w:tcBorders>
              <w:bottom w:val="single" w:sz="4" w:space="0" w:color="auto"/>
            </w:tcBorders>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15:10-15:30</w:t>
            </w:r>
          </w:p>
        </w:tc>
        <w:tc>
          <w:tcPr>
            <w:tcW w:w="8852" w:type="dxa"/>
            <w:tcBorders>
              <w:bottom w:val="single" w:sz="4" w:space="0" w:color="auto"/>
            </w:tcBorders>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Moderated Q&amp;A</w:t>
            </w:r>
          </w:p>
        </w:tc>
      </w:tr>
      <w:tr w:rsidR="00945A56" w:rsidRPr="00945A56" w:rsidTr="00211FCE">
        <w:trPr>
          <w:trHeight w:val="390"/>
        </w:trPr>
        <w:tc>
          <w:tcPr>
            <w:tcW w:w="1260" w:type="dxa"/>
            <w:shd w:val="clear" w:color="auto" w:fill="00B0F0"/>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15:30- 15:45</w:t>
            </w:r>
          </w:p>
        </w:tc>
        <w:tc>
          <w:tcPr>
            <w:tcW w:w="8852" w:type="dxa"/>
            <w:shd w:val="clear" w:color="auto" w:fill="00B0F0"/>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Coffee Break</w:t>
            </w:r>
          </w:p>
        </w:tc>
      </w:tr>
      <w:tr w:rsidR="00945A56" w:rsidRPr="00945A56" w:rsidTr="00211FCE">
        <w:trPr>
          <w:trHeight w:val="638"/>
        </w:trPr>
        <w:tc>
          <w:tcPr>
            <w:tcW w:w="1260"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15:45-16:50</w:t>
            </w:r>
          </w:p>
        </w:tc>
        <w:tc>
          <w:tcPr>
            <w:tcW w:w="8852"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Group work</w:t>
            </w:r>
          </w:p>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Group presentations and discussion</w:t>
            </w:r>
          </w:p>
        </w:tc>
      </w:tr>
      <w:tr w:rsidR="00945A56" w:rsidRPr="00945A56" w:rsidTr="00211FCE">
        <w:trPr>
          <w:trHeight w:val="434"/>
        </w:trPr>
        <w:tc>
          <w:tcPr>
            <w:tcW w:w="1260"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16:50-17:00</w:t>
            </w:r>
          </w:p>
        </w:tc>
        <w:tc>
          <w:tcPr>
            <w:tcW w:w="8852" w:type="dxa"/>
          </w:tcPr>
          <w:p w:rsidR="00945A56" w:rsidRPr="00945A56" w:rsidRDefault="00945A56" w:rsidP="00945A56">
            <w:pPr>
              <w:jc w:val="center"/>
              <w:rPr>
                <w:rFonts w:ascii="Calibri" w:eastAsia="Calibri" w:hAnsi="Calibri"/>
                <w:sz w:val="20"/>
                <w:szCs w:val="20"/>
                <w:lang w:eastAsia="en-US"/>
              </w:rPr>
            </w:pPr>
            <w:r w:rsidRPr="00945A56">
              <w:rPr>
                <w:rFonts w:ascii="Calibri" w:eastAsia="Calibri" w:hAnsi="Calibri"/>
                <w:sz w:val="20"/>
                <w:szCs w:val="20"/>
                <w:lang w:eastAsia="en-US"/>
              </w:rPr>
              <w:t>Conclusion</w:t>
            </w:r>
          </w:p>
        </w:tc>
      </w:tr>
    </w:tbl>
    <w:p w:rsidR="00945A56" w:rsidRPr="00945A56" w:rsidRDefault="00945A56" w:rsidP="00945A56">
      <w:pPr>
        <w:rPr>
          <w:rFonts w:ascii="Calibri" w:eastAsia="Calibri" w:hAnsi="Calibri"/>
          <w:sz w:val="20"/>
          <w:szCs w:val="20"/>
          <w:lang w:eastAsia="en-US"/>
        </w:rPr>
      </w:pPr>
    </w:p>
    <w:p w:rsidR="00945A56" w:rsidRPr="00945A56" w:rsidRDefault="00945A56" w:rsidP="00945A56">
      <w:pPr>
        <w:rPr>
          <w:rFonts w:ascii="Calibri" w:eastAsia="Calibri" w:hAnsi="Calibri"/>
          <w:sz w:val="20"/>
          <w:szCs w:val="20"/>
          <w:lang w:eastAsia="en-US"/>
        </w:rPr>
      </w:pPr>
    </w:p>
    <w:p w:rsidR="00945A56" w:rsidRPr="00945A56" w:rsidRDefault="00945A56" w:rsidP="00945A56">
      <w:pPr>
        <w:rPr>
          <w:rFonts w:ascii="Calibri" w:eastAsia="Calibri" w:hAnsi="Calibri"/>
          <w:i/>
          <w:sz w:val="20"/>
          <w:szCs w:val="20"/>
          <w:lang w:eastAsia="en-US"/>
        </w:rPr>
      </w:pPr>
      <w:r w:rsidRPr="00945A56">
        <w:rPr>
          <w:rFonts w:ascii="Calibri" w:eastAsia="Calibri" w:hAnsi="Calibri"/>
          <w:sz w:val="20"/>
          <w:szCs w:val="20"/>
          <w:lang w:eastAsia="en-US"/>
        </w:rPr>
        <w:tab/>
      </w:r>
      <w:r w:rsidRPr="00945A56">
        <w:rPr>
          <w:rFonts w:ascii="Calibri" w:eastAsia="Calibri" w:hAnsi="Calibri"/>
          <w:i/>
          <w:sz w:val="20"/>
          <w:szCs w:val="20"/>
          <w:lang w:eastAsia="en-US"/>
        </w:rPr>
        <w:t>Note: All presenters and presentation TBC by 25/03/19.</w:t>
      </w:r>
    </w:p>
    <w:p w:rsidR="00945A56" w:rsidRPr="00945A56" w:rsidRDefault="00945A56" w:rsidP="00945A56">
      <w:pPr>
        <w:rPr>
          <w:rFonts w:ascii="Calibri" w:eastAsia="Calibri" w:hAnsi="Calibri"/>
          <w:sz w:val="20"/>
          <w:szCs w:val="20"/>
          <w:lang w:eastAsia="en-US"/>
        </w:rPr>
      </w:pPr>
    </w:p>
    <w:p w:rsidR="00945A56" w:rsidRPr="00945A56" w:rsidRDefault="00945A56" w:rsidP="00945A56">
      <w:pPr>
        <w:keepNext/>
        <w:keepLines/>
        <w:spacing w:before="40"/>
        <w:outlineLvl w:val="1"/>
        <w:rPr>
          <w:rFonts w:ascii="Calibri" w:hAnsi="Calibri" w:cs="Calibri"/>
          <w:b/>
          <w:color w:val="000000"/>
          <w:sz w:val="20"/>
          <w:szCs w:val="20"/>
          <w:lang w:val="en-GB" w:eastAsia="en-US"/>
        </w:rPr>
      </w:pPr>
      <w:r w:rsidRPr="00945A56">
        <w:rPr>
          <w:rFonts w:ascii="Calibri" w:hAnsi="Calibri" w:cs="Calibri"/>
          <w:b/>
          <w:bCs/>
          <w:color w:val="000000"/>
          <w:sz w:val="20"/>
          <w:szCs w:val="20"/>
          <w:lang w:val="en-GB" w:eastAsia="en-US"/>
        </w:rPr>
        <w:t>Composition</w:t>
      </w:r>
      <w:r w:rsidRPr="00945A56">
        <w:rPr>
          <w:rFonts w:ascii="Calibri" w:hAnsi="Calibri" w:cs="Calibri"/>
          <w:b/>
          <w:color w:val="000000"/>
          <w:sz w:val="20"/>
          <w:szCs w:val="20"/>
          <w:lang w:val="en-GB" w:eastAsia="en-US"/>
        </w:rPr>
        <w:t xml:space="preserve"> of </w:t>
      </w:r>
      <w:r w:rsidRPr="00945A56">
        <w:rPr>
          <w:rFonts w:ascii="Calibri" w:hAnsi="Calibri" w:cs="Calibri"/>
          <w:b/>
          <w:bCs/>
          <w:color w:val="000000"/>
          <w:sz w:val="20"/>
          <w:szCs w:val="20"/>
          <w:lang w:val="en-GB" w:eastAsia="en-US"/>
        </w:rPr>
        <w:t>the Session P</w:t>
      </w:r>
      <w:r w:rsidRPr="00945A56">
        <w:rPr>
          <w:rFonts w:ascii="Calibri" w:hAnsi="Calibri" w:cs="Calibri"/>
          <w:b/>
          <w:color w:val="000000"/>
          <w:sz w:val="20"/>
          <w:szCs w:val="20"/>
          <w:lang w:val="en-GB" w:eastAsia="en-US"/>
        </w:rPr>
        <w:t xml:space="preserve">reparatory Working Group </w:t>
      </w:r>
    </w:p>
    <w:p w:rsidR="00945A56" w:rsidRPr="00945A56" w:rsidRDefault="00945A56" w:rsidP="00945A56">
      <w:pPr>
        <w:jc w:val="both"/>
        <w:rPr>
          <w:rFonts w:ascii="Calibri" w:eastAsia="Calibri" w:hAnsi="Calibri" w:cs="Arial"/>
          <w:sz w:val="20"/>
          <w:szCs w:val="20"/>
          <w:lang w:val="en-GB" w:eastAsia="en-US"/>
        </w:rPr>
      </w:pPr>
      <w:r w:rsidRPr="00945A56">
        <w:rPr>
          <w:rFonts w:ascii="Calibri" w:eastAsia="Calibri" w:hAnsi="Calibri" w:cs="Arial"/>
          <w:sz w:val="20"/>
          <w:szCs w:val="20"/>
          <w:lang w:val="en-GB" w:eastAsia="en-US"/>
        </w:rPr>
        <w:t>The below are members of preparatory working group for this session:</w:t>
      </w:r>
    </w:p>
    <w:p w:rsidR="00945A56" w:rsidRPr="00945A56" w:rsidRDefault="00945A56" w:rsidP="00945A56">
      <w:pPr>
        <w:tabs>
          <w:tab w:val="left" w:pos="426"/>
        </w:tabs>
        <w:jc w:val="both"/>
        <w:rPr>
          <w:rFonts w:ascii="Calibri" w:hAnsi="Calibri" w:cs="Calibri"/>
          <w:b/>
          <w:sz w:val="20"/>
          <w:szCs w:val="20"/>
          <w:lang w:val="en-GB" w:eastAsia="en-US"/>
        </w:rPr>
      </w:pPr>
      <w:r w:rsidRPr="00945A56">
        <w:rPr>
          <w:rFonts w:ascii="Calibri" w:hAnsi="Calibri" w:cs="Calibri"/>
          <w:b/>
          <w:sz w:val="20"/>
          <w:szCs w:val="20"/>
          <w:lang w:val="en-GB" w:eastAsia="en-US"/>
        </w:rPr>
        <w:t xml:space="preserve">Co- Leads: </w:t>
      </w:r>
    </w:p>
    <w:p w:rsidR="00945A56" w:rsidRPr="00945A56" w:rsidRDefault="00945A56" w:rsidP="00945A56">
      <w:pPr>
        <w:numPr>
          <w:ilvl w:val="0"/>
          <w:numId w:val="2"/>
        </w:numPr>
        <w:tabs>
          <w:tab w:val="left" w:pos="426"/>
        </w:tabs>
        <w:contextualSpacing/>
        <w:jc w:val="both"/>
        <w:rPr>
          <w:rFonts w:ascii="Calibri" w:hAnsi="Calibri" w:cs="Calibri"/>
          <w:sz w:val="20"/>
          <w:szCs w:val="20"/>
          <w:lang w:val="en-GB" w:eastAsia="en-US"/>
        </w:rPr>
      </w:pPr>
      <w:bookmarkStart w:id="4" w:name="_Hlk533086201"/>
      <w:r w:rsidRPr="00945A56">
        <w:rPr>
          <w:rFonts w:ascii="Calibri" w:hAnsi="Calibri" w:cs="Calibri"/>
          <w:sz w:val="20"/>
          <w:szCs w:val="20"/>
          <w:lang w:val="en-GB" w:eastAsia="en-US"/>
        </w:rPr>
        <w:t xml:space="preserve">GCCA+ Support Facility: Guido Corno, GCCA+ Support Facility Climate Expert, </w:t>
      </w:r>
      <w:bookmarkEnd w:id="4"/>
      <w:r w:rsidRPr="00945A56">
        <w:rPr>
          <w:rFonts w:ascii="Calibri" w:hAnsi="Calibri" w:cs="Calibri"/>
          <w:sz w:val="20"/>
          <w:szCs w:val="20"/>
          <w:lang w:val="en-GB" w:eastAsia="en-US"/>
        </w:rPr>
        <w:fldChar w:fldCharType="begin"/>
      </w:r>
      <w:r w:rsidRPr="00945A56">
        <w:rPr>
          <w:rFonts w:ascii="Calibri" w:hAnsi="Calibri" w:cs="Calibri"/>
          <w:sz w:val="20"/>
          <w:szCs w:val="20"/>
          <w:lang w:val="en-GB" w:eastAsia="en-US"/>
        </w:rPr>
        <w:instrText xml:space="preserve"> HYPERLINK "mailto:Guido.Corno@gcca.eu" </w:instrText>
      </w:r>
      <w:r w:rsidRPr="00945A56">
        <w:rPr>
          <w:rFonts w:ascii="Calibri" w:hAnsi="Calibri" w:cs="Calibri"/>
          <w:sz w:val="20"/>
          <w:szCs w:val="20"/>
          <w:lang w:val="en-GB" w:eastAsia="en-US"/>
        </w:rPr>
        <w:fldChar w:fldCharType="separate"/>
      </w:r>
      <w:r w:rsidRPr="00945A56">
        <w:rPr>
          <w:rFonts w:ascii="Calibri" w:hAnsi="Calibri" w:cs="Calibri"/>
          <w:color w:val="0000FF"/>
          <w:sz w:val="20"/>
          <w:szCs w:val="20"/>
          <w:u w:val="single"/>
          <w:lang w:val="en-GB" w:eastAsia="en-US"/>
        </w:rPr>
        <w:t>Guido.Corno@gcca.eu</w:t>
      </w:r>
      <w:r w:rsidRPr="00945A56">
        <w:rPr>
          <w:rFonts w:ascii="Calibri" w:hAnsi="Calibri" w:cs="Calibri"/>
          <w:sz w:val="20"/>
          <w:szCs w:val="20"/>
          <w:lang w:val="en-GB" w:eastAsia="en-US"/>
        </w:rPr>
        <w:fldChar w:fldCharType="end"/>
      </w:r>
      <w:r w:rsidRPr="00945A56">
        <w:rPr>
          <w:rFonts w:ascii="Calibri" w:hAnsi="Calibri" w:cs="Calibri"/>
          <w:sz w:val="20"/>
          <w:szCs w:val="20"/>
          <w:lang w:val="en-GB" w:eastAsia="en-US"/>
        </w:rPr>
        <w:t xml:space="preserve"> </w:t>
      </w:r>
    </w:p>
    <w:p w:rsidR="00945A56" w:rsidRPr="00945A56" w:rsidRDefault="00945A56" w:rsidP="00945A56">
      <w:pPr>
        <w:numPr>
          <w:ilvl w:val="0"/>
          <w:numId w:val="2"/>
        </w:numPr>
        <w:tabs>
          <w:tab w:val="left" w:pos="426"/>
        </w:tabs>
        <w:contextualSpacing/>
        <w:jc w:val="both"/>
        <w:rPr>
          <w:rFonts w:ascii="Calibri" w:hAnsi="Calibri" w:cs="Calibri"/>
          <w:b/>
          <w:sz w:val="20"/>
          <w:szCs w:val="20"/>
          <w:lang w:val="en-GB" w:eastAsia="en-US"/>
        </w:rPr>
      </w:pPr>
      <w:r w:rsidRPr="00945A56">
        <w:rPr>
          <w:rFonts w:ascii="Calibri" w:eastAsia="Calibri" w:hAnsi="Calibri" w:cs="Calibri"/>
          <w:sz w:val="20"/>
          <w:szCs w:val="20"/>
          <w:lang w:eastAsia="en-US"/>
        </w:rPr>
        <w:t xml:space="preserve">Dr. Herman Timmermans - SPREP/ PEBACC- </w:t>
      </w:r>
      <w:hyperlink r:id="rId7" w:history="1">
        <w:r w:rsidRPr="00945A56">
          <w:rPr>
            <w:rFonts w:ascii="Calibri" w:eastAsia="Calibri" w:hAnsi="Calibri" w:cs="Calibri"/>
            <w:color w:val="0000FF"/>
            <w:sz w:val="20"/>
            <w:szCs w:val="20"/>
            <w:u w:val="single"/>
            <w:lang w:eastAsia="en-US"/>
          </w:rPr>
          <w:t>hermant@sprep.org</w:t>
        </w:r>
      </w:hyperlink>
    </w:p>
    <w:p w:rsidR="00945A56" w:rsidRPr="00945A56" w:rsidRDefault="00945A56" w:rsidP="00945A56">
      <w:pPr>
        <w:tabs>
          <w:tab w:val="left" w:pos="426"/>
        </w:tabs>
        <w:ind w:left="720"/>
        <w:contextualSpacing/>
        <w:jc w:val="both"/>
        <w:rPr>
          <w:rFonts w:ascii="Calibri" w:hAnsi="Calibri" w:cs="Calibri"/>
          <w:b/>
          <w:sz w:val="20"/>
          <w:szCs w:val="20"/>
          <w:lang w:val="en-GB" w:eastAsia="en-US"/>
        </w:rPr>
      </w:pPr>
    </w:p>
    <w:p w:rsidR="00945A56" w:rsidRPr="00945A56" w:rsidRDefault="00945A56" w:rsidP="00945A56">
      <w:pPr>
        <w:tabs>
          <w:tab w:val="left" w:pos="426"/>
        </w:tabs>
        <w:jc w:val="both"/>
        <w:rPr>
          <w:rFonts w:ascii="Calibri" w:hAnsi="Calibri" w:cs="Calibri"/>
          <w:b/>
          <w:color w:val="000000"/>
          <w:sz w:val="20"/>
          <w:szCs w:val="20"/>
          <w:lang w:val="en-GB" w:eastAsia="en-US"/>
        </w:rPr>
      </w:pPr>
      <w:r w:rsidRPr="00945A56">
        <w:rPr>
          <w:rFonts w:ascii="Calibri" w:hAnsi="Calibri" w:cs="Calibri"/>
          <w:b/>
          <w:color w:val="000000"/>
          <w:sz w:val="20"/>
          <w:szCs w:val="20"/>
          <w:lang w:val="en-GB" w:eastAsia="en-US"/>
        </w:rPr>
        <w:t>Other members (2-3 max):</w:t>
      </w:r>
    </w:p>
    <w:p w:rsidR="00945A56" w:rsidRPr="00945A56" w:rsidRDefault="00945A56" w:rsidP="00945A56">
      <w:pPr>
        <w:numPr>
          <w:ilvl w:val="0"/>
          <w:numId w:val="3"/>
        </w:numPr>
        <w:contextualSpacing/>
        <w:jc w:val="both"/>
        <w:rPr>
          <w:rFonts w:ascii="Calibri" w:hAnsi="Calibri" w:cs="Calibri"/>
          <w:color w:val="000000"/>
          <w:sz w:val="20"/>
          <w:szCs w:val="20"/>
          <w:lang w:val="en-GB" w:eastAsia="en-US"/>
        </w:rPr>
      </w:pPr>
      <w:r w:rsidRPr="00945A56">
        <w:rPr>
          <w:rFonts w:ascii="Calibri" w:hAnsi="Calibri" w:cs="Calibri"/>
          <w:color w:val="000000"/>
          <w:sz w:val="20"/>
          <w:szCs w:val="20"/>
          <w:lang w:val="en-GB" w:eastAsia="en-US"/>
        </w:rPr>
        <w:t xml:space="preserve">SUPA team in SPC: Gillian Cambers, Project Manager, EU - Scaling up Pacific Adaptation (SUPA) - GCCA+ projects, SPC, </w:t>
      </w:r>
      <w:hyperlink r:id="rId8" w:history="1">
        <w:r w:rsidRPr="00945A56">
          <w:rPr>
            <w:rFonts w:ascii="Calibri" w:hAnsi="Calibri" w:cs="Calibri"/>
            <w:color w:val="000000"/>
            <w:sz w:val="20"/>
            <w:szCs w:val="20"/>
            <w:u w:val="single"/>
            <w:lang w:val="en-GB" w:eastAsia="en-US"/>
          </w:rPr>
          <w:t>gillianc@spc.int</w:t>
        </w:r>
      </w:hyperlink>
      <w:r w:rsidRPr="00945A56">
        <w:rPr>
          <w:rFonts w:ascii="Calibri" w:hAnsi="Calibri" w:cs="Calibri"/>
          <w:color w:val="000000"/>
          <w:sz w:val="20"/>
          <w:szCs w:val="20"/>
          <w:lang w:val="en-GB" w:eastAsia="en-US"/>
        </w:rPr>
        <w:t xml:space="preserve"> </w:t>
      </w:r>
    </w:p>
    <w:p w:rsidR="00945A56" w:rsidRPr="00945A56" w:rsidRDefault="00945A56" w:rsidP="00945A56">
      <w:pPr>
        <w:numPr>
          <w:ilvl w:val="0"/>
          <w:numId w:val="3"/>
        </w:numPr>
        <w:contextualSpacing/>
        <w:jc w:val="both"/>
        <w:rPr>
          <w:rFonts w:ascii="Calibri" w:hAnsi="Calibri" w:cs="Calibri"/>
          <w:color w:val="000000"/>
          <w:sz w:val="20"/>
          <w:szCs w:val="20"/>
          <w:lang w:eastAsia="fr-FR"/>
        </w:rPr>
      </w:pPr>
      <w:r w:rsidRPr="00945A56">
        <w:rPr>
          <w:rFonts w:ascii="Calibri" w:hAnsi="Calibri" w:cs="Calibri"/>
          <w:color w:val="000000"/>
          <w:sz w:val="20"/>
          <w:szCs w:val="20"/>
          <w:lang w:val="en-GB" w:eastAsia="en-US"/>
        </w:rPr>
        <w:t xml:space="preserve">SUPA Team in USP: Morgan Wairiu, </w:t>
      </w:r>
      <w:r w:rsidRPr="00945A56">
        <w:rPr>
          <w:rFonts w:ascii="Calibri" w:hAnsi="Calibri" w:cs="Calibri"/>
          <w:color w:val="000000"/>
          <w:sz w:val="20"/>
          <w:szCs w:val="20"/>
          <w:lang w:eastAsia="fr-FR"/>
        </w:rPr>
        <w:t>Deputy Director</w:t>
      </w:r>
      <w:r w:rsidRPr="00945A56">
        <w:rPr>
          <w:rFonts w:ascii="Calibri" w:hAnsi="Calibri" w:cs="Calibri"/>
          <w:color w:val="000000"/>
          <w:sz w:val="20"/>
          <w:szCs w:val="20"/>
          <w:lang w:eastAsia="fr-FR"/>
        </w:rPr>
        <w:br/>
        <w:t xml:space="preserve">Pacific Centre for Environment &amp; Sustainable Development (PACE-SD), USP, </w:t>
      </w:r>
      <w:hyperlink r:id="rId9" w:history="1">
        <w:r w:rsidRPr="00945A56">
          <w:rPr>
            <w:rFonts w:ascii="Calibri" w:hAnsi="Calibri" w:cs="Calibri"/>
            <w:color w:val="000000"/>
            <w:sz w:val="20"/>
            <w:szCs w:val="20"/>
            <w:u w:val="single"/>
            <w:lang w:eastAsia="fr-FR"/>
          </w:rPr>
          <w:t>morgan.wairiu@usp.ac.fj</w:t>
        </w:r>
      </w:hyperlink>
      <w:r w:rsidRPr="00945A56">
        <w:rPr>
          <w:rFonts w:ascii="Calibri" w:hAnsi="Calibri" w:cs="Calibri"/>
          <w:color w:val="000000"/>
          <w:sz w:val="20"/>
          <w:szCs w:val="20"/>
          <w:lang w:eastAsia="fr-FR"/>
        </w:rPr>
        <w:t xml:space="preserve"> </w:t>
      </w:r>
    </w:p>
    <w:p w:rsidR="00945A56" w:rsidRPr="00945A56" w:rsidRDefault="00945A56" w:rsidP="00945A56">
      <w:pPr>
        <w:ind w:left="720"/>
        <w:contextualSpacing/>
        <w:jc w:val="both"/>
        <w:rPr>
          <w:rFonts w:ascii="Calibri" w:hAnsi="Calibri" w:cs="Calibri"/>
          <w:sz w:val="20"/>
          <w:szCs w:val="20"/>
          <w:lang w:val="en-GB" w:eastAsia="en-US"/>
        </w:rPr>
      </w:pPr>
    </w:p>
    <w:p w:rsidR="00945A56" w:rsidRPr="00945A56" w:rsidRDefault="00945A56" w:rsidP="00945A56">
      <w:pPr>
        <w:jc w:val="both"/>
        <w:rPr>
          <w:rFonts w:ascii="Calibri" w:hAnsi="Calibri" w:cs="Calibri"/>
          <w:b/>
          <w:sz w:val="20"/>
          <w:szCs w:val="20"/>
          <w:lang w:eastAsia="en-US"/>
        </w:rPr>
      </w:pPr>
      <w:r w:rsidRPr="00945A56">
        <w:rPr>
          <w:rFonts w:ascii="Calibri" w:hAnsi="Calibri" w:cs="Calibri"/>
          <w:b/>
          <w:sz w:val="20"/>
          <w:szCs w:val="20"/>
          <w:lang w:eastAsia="en-US"/>
        </w:rPr>
        <w:t xml:space="preserve">Key Documents &amp; Hyperlinks </w:t>
      </w:r>
    </w:p>
    <w:p w:rsidR="00945A56" w:rsidRPr="00945A56" w:rsidRDefault="00945A56" w:rsidP="00945A56">
      <w:pPr>
        <w:numPr>
          <w:ilvl w:val="0"/>
          <w:numId w:val="4"/>
        </w:numPr>
        <w:contextualSpacing/>
        <w:jc w:val="both"/>
        <w:rPr>
          <w:rFonts w:ascii="Calibri" w:hAnsi="Calibri" w:cs="Calibri"/>
          <w:sz w:val="20"/>
          <w:szCs w:val="20"/>
          <w:lang w:val="en-GB" w:eastAsia="en-US"/>
        </w:rPr>
      </w:pPr>
      <w:hyperlink r:id="rId10" w:history="1">
        <w:r w:rsidRPr="00945A56">
          <w:rPr>
            <w:rFonts w:ascii="Calibri" w:hAnsi="Calibri" w:cs="Calibri"/>
            <w:color w:val="0000FF"/>
            <w:sz w:val="20"/>
            <w:szCs w:val="20"/>
            <w:u w:val="single"/>
            <w:lang w:val="en-GB" w:eastAsia="en-US"/>
          </w:rPr>
          <w:t>www.gcca.eu</w:t>
        </w:r>
      </w:hyperlink>
    </w:p>
    <w:p w:rsidR="00945A56" w:rsidRPr="00945A56" w:rsidRDefault="00945A56" w:rsidP="00945A56">
      <w:pPr>
        <w:numPr>
          <w:ilvl w:val="0"/>
          <w:numId w:val="4"/>
        </w:numPr>
        <w:contextualSpacing/>
        <w:jc w:val="both"/>
        <w:rPr>
          <w:rFonts w:ascii="Calibri" w:hAnsi="Calibri" w:cs="Calibri"/>
          <w:color w:val="0000FF"/>
          <w:sz w:val="20"/>
          <w:szCs w:val="20"/>
          <w:u w:val="single"/>
          <w:lang w:val="en-GB" w:eastAsia="en-US"/>
        </w:rPr>
      </w:pPr>
      <w:hyperlink r:id="rId11" w:history="1">
        <w:r w:rsidRPr="00945A56">
          <w:rPr>
            <w:rFonts w:ascii="Calibri" w:hAnsi="Calibri" w:cs="Calibri"/>
            <w:color w:val="0000FF"/>
            <w:sz w:val="20"/>
            <w:szCs w:val="20"/>
            <w:u w:val="single"/>
            <w:lang w:val="en-GB" w:eastAsia="en-US"/>
          </w:rPr>
          <w:t>GCCA+ Factsheet</w:t>
        </w:r>
      </w:hyperlink>
    </w:p>
    <w:p w:rsidR="00945A56" w:rsidRPr="00945A56" w:rsidRDefault="00945A56" w:rsidP="00945A56">
      <w:pPr>
        <w:numPr>
          <w:ilvl w:val="0"/>
          <w:numId w:val="4"/>
        </w:numPr>
        <w:contextualSpacing/>
        <w:jc w:val="both"/>
        <w:rPr>
          <w:rFonts w:ascii="Calibri" w:hAnsi="Calibri" w:cs="Calibri"/>
          <w:color w:val="0000FF"/>
          <w:sz w:val="20"/>
          <w:szCs w:val="20"/>
          <w:u w:val="single"/>
          <w:lang w:val="en-GB" w:eastAsia="en-US"/>
        </w:rPr>
      </w:pPr>
      <w:hyperlink r:id="rId12" w:history="1">
        <w:r w:rsidRPr="00945A56">
          <w:rPr>
            <w:rFonts w:ascii="Calibri" w:hAnsi="Calibri" w:cs="Calibri"/>
            <w:color w:val="0000FF"/>
            <w:sz w:val="20"/>
            <w:szCs w:val="20"/>
            <w:u w:val="single"/>
            <w:lang w:val="en-GB" w:eastAsia="en-US"/>
          </w:rPr>
          <w:t>https://www.iucn.org/commissions/commission-ecosystem-management/our-work/nature-based-solutions</w:t>
        </w:r>
      </w:hyperlink>
    </w:p>
    <w:p w:rsidR="00945A56" w:rsidRPr="00945A56" w:rsidRDefault="00945A56" w:rsidP="00945A56">
      <w:pPr>
        <w:numPr>
          <w:ilvl w:val="0"/>
          <w:numId w:val="4"/>
        </w:numPr>
        <w:shd w:val="clear" w:color="auto" w:fill="FFFFFF"/>
        <w:contextualSpacing/>
        <w:rPr>
          <w:rFonts w:ascii="Calibri" w:eastAsia="Calibri" w:hAnsi="Calibri" w:cs="Calibri"/>
          <w:color w:val="212121"/>
          <w:sz w:val="20"/>
          <w:szCs w:val="20"/>
          <w:lang w:eastAsia="en-US"/>
        </w:rPr>
      </w:pPr>
      <w:hyperlink r:id="rId13" w:tgtFrame="_blank" w:history="1">
        <w:r w:rsidRPr="00945A56">
          <w:rPr>
            <w:rFonts w:ascii="Calibri" w:eastAsia="Calibri" w:hAnsi="Calibri" w:cs="Calibri"/>
            <w:color w:val="0000FF"/>
            <w:sz w:val="20"/>
            <w:szCs w:val="20"/>
            <w:u w:val="single"/>
            <w:lang w:eastAsia="en-US"/>
          </w:rPr>
          <w:t>https://ndcpartnership.org/content/nature-based-solutions-policy-data-platform</w:t>
        </w:r>
      </w:hyperlink>
    </w:p>
    <w:p w:rsidR="00945A56" w:rsidRPr="00945A56" w:rsidRDefault="00945A56" w:rsidP="00945A56">
      <w:pPr>
        <w:numPr>
          <w:ilvl w:val="0"/>
          <w:numId w:val="4"/>
        </w:numPr>
        <w:contextualSpacing/>
        <w:jc w:val="both"/>
        <w:rPr>
          <w:rFonts w:ascii="Calibri" w:hAnsi="Calibri" w:cs="Calibri"/>
          <w:sz w:val="20"/>
          <w:szCs w:val="20"/>
          <w:lang w:val="en-GB" w:eastAsia="en-US"/>
        </w:rPr>
      </w:pPr>
      <w:hyperlink r:id="rId14" w:history="1">
        <w:r w:rsidRPr="00945A56">
          <w:rPr>
            <w:rFonts w:ascii="Calibri" w:hAnsi="Calibri" w:cs="Calibri"/>
            <w:color w:val="0000FF"/>
            <w:sz w:val="20"/>
            <w:szCs w:val="20"/>
            <w:u w:val="single"/>
            <w:lang w:val="en-GB" w:eastAsia="en-US"/>
          </w:rPr>
          <w:t>https://ec.europa.eu/research/environment/index.cfm?pg=nbs</w:t>
        </w:r>
      </w:hyperlink>
    </w:p>
    <w:p w:rsidR="00945A56" w:rsidRPr="00945A56" w:rsidRDefault="00945A56" w:rsidP="00945A56">
      <w:pPr>
        <w:ind w:left="720"/>
        <w:contextualSpacing/>
        <w:jc w:val="both"/>
        <w:rPr>
          <w:rFonts w:ascii="Calibri" w:hAnsi="Calibri" w:cs="Calibri"/>
          <w:sz w:val="20"/>
          <w:szCs w:val="20"/>
          <w:highlight w:val="yellow"/>
          <w:lang w:val="en-GB" w:eastAsia="en-US"/>
        </w:rPr>
      </w:pPr>
    </w:p>
    <w:p w:rsidR="00945A56" w:rsidRPr="00945A56" w:rsidRDefault="00945A56" w:rsidP="00945A56">
      <w:pPr>
        <w:rPr>
          <w:rFonts w:ascii="Calibri" w:eastAsia="Calibri" w:hAnsi="Calibri"/>
          <w:sz w:val="20"/>
          <w:szCs w:val="20"/>
          <w:lang w:eastAsia="en-US"/>
        </w:rPr>
      </w:pPr>
      <w:r w:rsidRPr="00945A56">
        <w:rPr>
          <w:rFonts w:ascii="Calibri" w:eastAsia="Calibri" w:hAnsi="Calibri"/>
          <w:sz w:val="20"/>
          <w:szCs w:val="20"/>
          <w:lang w:eastAsia="en-US"/>
        </w:rPr>
        <w:tab/>
      </w:r>
    </w:p>
    <w:p w:rsidR="00A2006B" w:rsidRDefault="00A2006B" w:rsidP="00945A56">
      <w:pPr>
        <w:jc w:val="center"/>
        <w:rPr>
          <w:rFonts w:ascii="Calibri" w:eastAsia="Calibri" w:hAnsi="Calibri" w:cs="Calibri"/>
        </w:rPr>
      </w:pPr>
    </w:p>
    <w:sectPr w:rsidR="00A2006B">
      <w:headerReference w:type="default" r:id="rId15"/>
      <w:footerReference w:type="default" r:id="rId16"/>
      <w:pgSz w:w="12240" w:h="15840"/>
      <w:pgMar w:top="1440" w:right="1440" w:bottom="1440" w:left="1440" w:header="510"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1D2" w:rsidRDefault="00B041D2">
      <w:r>
        <w:separator/>
      </w:r>
    </w:p>
  </w:endnote>
  <w:endnote w:type="continuationSeparator" w:id="0">
    <w:p w:rsidR="00B041D2" w:rsidRDefault="00B0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ba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6B" w:rsidRDefault="00B041D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945A56">
      <w:rPr>
        <w:color w:val="000000"/>
      </w:rPr>
      <w:fldChar w:fldCharType="separate"/>
    </w:r>
    <w:r>
      <w:rPr>
        <w:noProof/>
        <w:color w:val="000000"/>
      </w:rPr>
      <w:t>1</w:t>
    </w:r>
    <w:r>
      <w:rPr>
        <w:color w:val="000000"/>
      </w:rPr>
      <w:fldChar w:fldCharType="end"/>
    </w:r>
  </w:p>
  <w:p w:rsidR="00A2006B" w:rsidRDefault="00A2006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1D2" w:rsidRDefault="00B041D2">
      <w:r>
        <w:separator/>
      </w:r>
    </w:p>
  </w:footnote>
  <w:footnote w:type="continuationSeparator" w:id="0">
    <w:p w:rsidR="00B041D2" w:rsidRDefault="00B0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6B" w:rsidRDefault="00B041D2">
    <w:pPr>
      <w:pBdr>
        <w:top w:val="nil"/>
        <w:left w:val="nil"/>
        <w:bottom w:val="nil"/>
        <w:right w:val="nil"/>
        <w:between w:val="nil"/>
      </w:pBdr>
      <w:tabs>
        <w:tab w:val="center" w:pos="4680"/>
        <w:tab w:val="right" w:pos="9360"/>
      </w:tabs>
      <w:jc w:val="center"/>
      <w:rPr>
        <w:rFonts w:ascii="Abadi" w:eastAsia="Abadi" w:hAnsi="Abadi" w:cs="Abadi"/>
        <w:i/>
        <w:color w:val="2F5496"/>
        <w:sz w:val="22"/>
        <w:szCs w:val="22"/>
      </w:rPr>
    </w:pPr>
    <w:r>
      <w:rPr>
        <w:rFonts w:ascii="Abadi" w:eastAsia="Abadi" w:hAnsi="Abadi" w:cs="Abadi"/>
        <w:b/>
        <w:color w:val="363636"/>
        <w:sz w:val="32"/>
        <w:szCs w:val="32"/>
      </w:rPr>
      <w:t>PACIFIC RESILIENCE MEETING</w:t>
    </w:r>
    <w:r>
      <w:rPr>
        <w:rFonts w:ascii="Abadi" w:eastAsia="Abadi" w:hAnsi="Abadi" w:cs="Abadi"/>
        <w:b/>
        <w:color w:val="363636"/>
        <w:sz w:val="32"/>
        <w:szCs w:val="32"/>
      </w:rPr>
      <w:br/>
    </w:r>
    <w:r>
      <w:rPr>
        <w:rFonts w:ascii="Abadi" w:eastAsia="Abadi" w:hAnsi="Abadi" w:cs="Abadi"/>
        <w:i/>
        <w:color w:val="2F5496"/>
      </w:rPr>
      <w:t>“Youth Futures in a Resilient Pacific”</w:t>
    </w:r>
  </w:p>
  <w:p w:rsidR="00A2006B" w:rsidRDefault="00B041D2">
    <w:pPr>
      <w:tabs>
        <w:tab w:val="center" w:pos="4513"/>
        <w:tab w:val="right" w:pos="9026"/>
      </w:tabs>
      <w:jc w:val="center"/>
      <w:rPr>
        <w:rFonts w:ascii="Abadi" w:eastAsia="Abadi" w:hAnsi="Abadi" w:cs="Abadi"/>
        <w:sz w:val="22"/>
        <w:szCs w:val="22"/>
      </w:rPr>
    </w:pPr>
    <w:r>
      <w:rPr>
        <w:rFonts w:ascii="Abadi" w:eastAsia="Abadi" w:hAnsi="Abadi" w:cs="Abadi"/>
        <w:sz w:val="22"/>
        <w:szCs w:val="22"/>
      </w:rPr>
      <w:t>1 – 3 May 2018</w:t>
    </w:r>
  </w:p>
  <w:p w:rsidR="00A2006B" w:rsidRDefault="00B041D2">
    <w:pPr>
      <w:tabs>
        <w:tab w:val="center" w:pos="4513"/>
        <w:tab w:val="right" w:pos="9026"/>
      </w:tabs>
      <w:jc w:val="center"/>
      <w:rPr>
        <w:rFonts w:ascii="Abadi" w:eastAsia="Abadi" w:hAnsi="Abadi" w:cs="Abadi"/>
        <w:sz w:val="22"/>
        <w:szCs w:val="22"/>
      </w:rPr>
    </w:pPr>
    <w:r>
      <w:rPr>
        <w:rFonts w:ascii="Abadi" w:eastAsia="Abadi" w:hAnsi="Abadi" w:cs="Abadi"/>
        <w:sz w:val="22"/>
        <w:szCs w:val="22"/>
      </w:rPr>
      <w:t>USP, Suva, Fiji</w:t>
    </w:r>
  </w:p>
  <w:p w:rsidR="00A2006B" w:rsidRDefault="00A2006B">
    <w:pPr>
      <w:pBdr>
        <w:top w:val="nil"/>
        <w:left w:val="nil"/>
        <w:bottom w:val="nil"/>
        <w:right w:val="nil"/>
        <w:between w:val="nil"/>
      </w:pBdr>
      <w:tabs>
        <w:tab w:val="center" w:pos="4680"/>
        <w:tab w:val="right" w:pos="9360"/>
      </w:tabs>
      <w:rPr>
        <w:rFonts w:ascii="Abadi" w:eastAsia="Abadi" w:hAnsi="Abadi" w:cs="Abad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24FCB"/>
    <w:multiLevelType w:val="hybridMultilevel"/>
    <w:tmpl w:val="81F2A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92D78"/>
    <w:multiLevelType w:val="hybridMultilevel"/>
    <w:tmpl w:val="1F2C4514"/>
    <w:lvl w:ilvl="0" w:tplc="DF600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364930"/>
    <w:multiLevelType w:val="hybridMultilevel"/>
    <w:tmpl w:val="F83A6700"/>
    <w:lvl w:ilvl="0" w:tplc="DF600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1F5D20"/>
    <w:multiLevelType w:val="multilevel"/>
    <w:tmpl w:val="9E6E4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72478DD"/>
    <w:multiLevelType w:val="hybridMultilevel"/>
    <w:tmpl w:val="9648C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6B"/>
    <w:rsid w:val="00945A56"/>
    <w:rsid w:val="00A2006B"/>
    <w:rsid w:val="00B04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0A93"/>
  <w15:docId w15:val="{99E9F0F3-DB41-41B5-8725-08B429DB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160"/>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illianc@spc.int" TargetMode="External"/><Relationship Id="rId13" Type="http://schemas.openxmlformats.org/officeDocument/2006/relationships/hyperlink" Target="https://ndcpartnership.org/content/nature-based-solutions-policy-data-platfor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mant@sprep.org" TargetMode="External"/><Relationship Id="rId12" Type="http://schemas.openxmlformats.org/officeDocument/2006/relationships/hyperlink" Target="https://www.iucn.org/commissions/commission-ecosystem-management/our-work/nature-based-solu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cca.eu/stories/gcca-glance-factshe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cca.eu" TargetMode="External"/><Relationship Id="rId4" Type="http://schemas.openxmlformats.org/officeDocument/2006/relationships/webSettings" Target="webSettings.xml"/><Relationship Id="rId9" Type="http://schemas.openxmlformats.org/officeDocument/2006/relationships/hyperlink" Target="mailto:morgan.wairiu@usp.ac.fj" TargetMode="External"/><Relationship Id="rId14" Type="http://schemas.openxmlformats.org/officeDocument/2006/relationships/hyperlink" Target="https://ec.europa.eu/research/environment/index.cfm?pg=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5319</Characters>
  <Application>Microsoft Office Word</Application>
  <DocSecurity>0</DocSecurity>
  <Lines>44</Lines>
  <Paragraphs>12</Paragraphs>
  <ScaleCrop>false</ScaleCrop>
  <Company>SPC</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Anais Rouveyrol</cp:lastModifiedBy>
  <cp:revision>2</cp:revision>
  <dcterms:created xsi:type="dcterms:W3CDTF">2019-04-17T21:29:00Z</dcterms:created>
  <dcterms:modified xsi:type="dcterms:W3CDTF">2019-04-17T21:33:00Z</dcterms:modified>
</cp:coreProperties>
</file>