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02">
      <w:pPr>
        <w:pStyle w:val="Heading1"/>
        <w:shd w:fill="b7dde8" w:val="clear"/>
        <w:spacing w:after="0" w:before="120" w:lineRule="auto"/>
        <w:rPr>
          <w:rFonts w:ascii="Calibri" w:cs="Calibri" w:eastAsia="Calibri" w:hAnsi="Calibri"/>
          <w:b w:val="1"/>
          <w:color w:val="4f81bd"/>
        </w:rPr>
      </w:pPr>
      <w:bookmarkStart w:colFirst="0" w:colLast="0" w:name="_gjdgxs" w:id="0"/>
      <w:bookmarkEnd w:id="0"/>
      <w:r w:rsidDel="00000000" w:rsidR="00000000" w:rsidRPr="00000000">
        <w:rPr>
          <w:rFonts w:ascii="Calibri" w:cs="Calibri" w:eastAsia="Calibri" w:hAnsi="Calibri"/>
          <w:b w:val="1"/>
          <w:color w:val="4f81bd"/>
          <w:rtl w:val="0"/>
        </w:rPr>
        <w:t xml:space="preserve">Session 2.</w:t>
        <w:tab/>
      </w:r>
      <w:r w:rsidDel="00000000" w:rsidR="00000000" w:rsidRPr="00000000">
        <w:rPr>
          <w:rFonts w:ascii="Abadi" w:cs="Abadi" w:eastAsia="Abadi" w:hAnsi="Abadi"/>
          <w:rtl w:val="0"/>
        </w:rPr>
        <w:t xml:space="preserve"> </w:t>
      </w:r>
      <w:r w:rsidDel="00000000" w:rsidR="00000000" w:rsidRPr="00000000">
        <w:rPr>
          <w:rFonts w:ascii="Calibri" w:cs="Calibri" w:eastAsia="Calibri" w:hAnsi="Calibri"/>
          <w:b w:val="1"/>
          <w:color w:val="4f81bd"/>
          <w:rtl w:val="0"/>
        </w:rPr>
        <w:t xml:space="preserve">Wednesday 1 May 2019, 10.40am </w:t>
      </w:r>
    </w:p>
    <w:p w:rsidR="00000000" w:rsidDel="00000000" w:rsidP="00000000" w:rsidRDefault="00000000" w:rsidRPr="00000000" w14:paraId="00000003">
      <w:pPr>
        <w:pStyle w:val="Heading1"/>
        <w:shd w:fill="b7dde8" w:val="clear"/>
        <w:spacing w:after="0" w:before="0" w:lineRule="auto"/>
        <w:rPr>
          <w:rFonts w:ascii="Calibri" w:cs="Calibri" w:eastAsia="Calibri" w:hAnsi="Calibri"/>
          <w:b w:val="1"/>
          <w:color w:val="4f81bd"/>
          <w:sz w:val="24"/>
          <w:szCs w:val="24"/>
        </w:rPr>
      </w:pPr>
      <w:r w:rsidDel="00000000" w:rsidR="00000000" w:rsidRPr="00000000">
        <w:rPr>
          <w:rFonts w:ascii="Calibri" w:cs="Calibri" w:eastAsia="Calibri" w:hAnsi="Calibri"/>
          <w:b w:val="1"/>
          <w:color w:val="4f81bd"/>
          <w:sz w:val="24"/>
          <w:szCs w:val="24"/>
          <w:rtl w:val="0"/>
        </w:rPr>
        <w:t xml:space="preserve">Japan-Pacific ICT Centre</w:t>
      </w:r>
    </w:p>
    <w:p w:rsidR="00000000" w:rsidDel="00000000" w:rsidP="00000000" w:rsidRDefault="00000000" w:rsidRPr="00000000" w14:paraId="00000004">
      <w:pPr>
        <w:pStyle w:val="Heading1"/>
        <w:shd w:fill="b7dde8" w:val="clear"/>
        <w:spacing w:after="120" w:before="0" w:lineRule="auto"/>
        <w:rPr>
          <w:i w:val="1"/>
          <w:color w:val="4f81bd"/>
          <w:sz w:val="36"/>
          <w:szCs w:val="36"/>
        </w:rPr>
      </w:pPr>
      <w:r w:rsidDel="00000000" w:rsidR="00000000" w:rsidRPr="00000000">
        <w:rPr>
          <w:i w:val="1"/>
          <w:color w:val="4f81bd"/>
          <w:sz w:val="36"/>
          <w:szCs w:val="36"/>
          <w:rtl w:val="0"/>
        </w:rPr>
        <w:t xml:space="preserve">Interactive Panel on the Pacific Resilience Partnership – Excellence in Resilience Building: Stronger Together </w:t>
      </w:r>
    </w:p>
    <w:p w:rsidR="00000000" w:rsidDel="00000000" w:rsidP="00000000" w:rsidRDefault="00000000" w:rsidRPr="00000000" w14:paraId="00000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Background</w:t>
      </w:r>
    </w:p>
    <w:p w:rsidR="00000000" w:rsidDel="00000000" w:rsidP="00000000" w:rsidRDefault="00000000" w:rsidRPr="00000000" w14:paraId="00000007">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Pacific demonstrated global leadership through the endorsement of the Framework for Resilient Development in the Pacific (FRDP) and the establishment of the Pacific Resilience Partnership (PRP). Whilst it is revolutionary in its approach, at the same time, it highlights that there is a lot of room for improvement particularly in how stakeholders work as a collective for the betterment of the region. </w:t>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rPr>
      </w:pPr>
      <w:r w:rsidDel="00000000" w:rsidR="00000000" w:rsidRPr="00000000">
        <w:rPr>
          <w:rFonts w:ascii="Calibri" w:cs="Calibri" w:eastAsia="Calibri" w:hAnsi="Calibri"/>
          <w:sz w:val="28"/>
          <w:szCs w:val="28"/>
          <w:rtl w:val="0"/>
        </w:rPr>
        <w:t xml:space="preserve">Objective</w:t>
      </w: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This session provides an opportunity to revisit the FRDP and PRP with particular focus on the value it adds towards strengthened coordination and collaboration amongst stakeholders through:</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understanding of the FRDP and PRP and what it means in the context of implementation at the community, national and regional level with a particular focus on coordination and collaboration. Is this conversation on multi-stakeholder and multi-sectoral approach reaching all levels of implementation? What does multi-stakeholder and multi-sectoral approach look like at the different levels of implementation?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Raising awareness on the region’s commitment to the inclusive and multi-stakeholder partnership approach that is a key feature of the PRP and reflected strongly in the membership of the PRP Taskforce. Provides an opportunity for practitioners to reflect on the challenges and opportunities of coordination and collaboration within their own sectors and across other sectors.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Identifying possible areas to progress that can be translated into action by the PRP and/or participants through their various roles.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Perspective from the youth on what coordination and collaboration means and their role and/or engagement through the FRDP and PRP.</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Structure of the Session</w:t>
      </w:r>
    </w:p>
    <w:p w:rsidR="00000000" w:rsidDel="00000000" w:rsidP="00000000" w:rsidRDefault="00000000" w:rsidRPr="00000000" w14:paraId="00000013">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session will be moderated by a Facilitator who will ensure that the session is as interactive as possible and underlines the importance and value-add of working together. The Keynote Speaker will provide a practical example and in doing so set the scene for the discussions that will follow. 2 to 3 other panellists from different stakeholders will contribute by sharing their own experiences. The audience will be given an opportunity to share experiences and/or ask questions of the panellists. </w:t>
      </w:r>
    </w:p>
    <w:p w:rsidR="00000000" w:rsidDel="00000000" w:rsidP="00000000" w:rsidRDefault="00000000" w:rsidRPr="00000000" w14:paraId="0000001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Working together or multi-stakeholder approach may look different and have a different meaning at different levels of implementation. So understanding what this means from the different stakeholder groupings is important. At the same time the session should provide an element of self-reflection by those participating in terms of whether or not they are facilitating and supporting a multi-stakeholder approach in their work. </w:t>
      </w:r>
    </w:p>
    <w:p w:rsidR="00000000" w:rsidDel="00000000" w:rsidP="00000000" w:rsidRDefault="00000000" w:rsidRPr="00000000" w14:paraId="00000017">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Possible Outcomes from the Session</w:t>
      </w:r>
    </w:p>
    <w:p w:rsidR="00000000" w:rsidDel="00000000" w:rsidP="00000000" w:rsidRDefault="00000000" w:rsidRPr="00000000" w14:paraId="00000019">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At the end of the session, participants will have a better understanding of the benefits and value-add of working together, one of the key principles of the FRDP and contextualized through the PRP governance arrangements. It could potentially inspire new partnerships. </w:t>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Within the resilient development agenda, there is a whole spectrum of issues that present barriers to effective coordination and collaboration. The PRP has the potential to trigger action that can provide options to address such barriers with this interactive session providing an opportunity to identify some very practical actions going forward. The PRP through its multi-stakeholder representation on the Taskforce could potentially leverage and elevate such actions across the various stakeholder groupings.</w:t>
      </w:r>
    </w:p>
    <w:p w:rsidR="00000000" w:rsidDel="00000000" w:rsidP="00000000" w:rsidRDefault="00000000" w:rsidRPr="00000000" w14:paraId="0000001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This session </w:t>
      </w:r>
      <w:r w:rsidDel="00000000" w:rsidR="00000000" w:rsidRPr="00000000">
        <w:rPr>
          <w:rFonts w:ascii="Calibri" w:cs="Calibri" w:eastAsia="Calibri" w:hAnsi="Calibri"/>
          <w:b w:val="1"/>
          <w:u w:val="single"/>
          <w:rtl w:val="0"/>
        </w:rPr>
        <w:t xml:space="preserve">will set the scene</w:t>
      </w:r>
      <w:r w:rsidDel="00000000" w:rsidR="00000000" w:rsidRPr="00000000">
        <w:rPr>
          <w:rFonts w:ascii="Calibri" w:cs="Calibri" w:eastAsia="Calibri" w:hAnsi="Calibri"/>
          <w:rtl w:val="0"/>
        </w:rPr>
        <w:t xml:space="preserve"> for how the participants approach the different sessions with the underlying objective that the region works as a collective across all stakeholder groupings and across all implementation levels. The key message that we hope to share and that will underline discussions and outcomes for the subsequent sessions is ‘</w:t>
      </w:r>
      <w:r w:rsidDel="00000000" w:rsidR="00000000" w:rsidRPr="00000000">
        <w:rPr>
          <w:rFonts w:ascii="Calibri" w:cs="Calibri" w:eastAsia="Calibri" w:hAnsi="Calibri"/>
          <w:b w:val="1"/>
          <w:rtl w:val="0"/>
        </w:rPr>
        <w:t xml:space="preserve">Stronger Together for a Resilient Future</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The next few days of the meeting provide further opportunities to prioritise and agree on targeted actions going forward with a strengthened resolve to work together more coherently and collaboratively. </w:t>
      </w:r>
      <w:r w:rsidDel="00000000" w:rsidR="00000000" w:rsidRPr="00000000">
        <w:rPr>
          <w:rFonts w:ascii="Calibri" w:cs="Calibri" w:eastAsia="Calibri" w:hAnsi="Calibri"/>
          <w:b w:val="1"/>
          <w:rtl w:val="0"/>
        </w:rPr>
        <w:t xml:space="preserve">In addition, a call for youth action on a particular issue with support from the different stakeholder groups could potentially strengthen the outcomes of the Pacific Resilience Meeting 2019.</w:t>
      </w:r>
    </w:p>
    <w:p w:rsidR="00000000" w:rsidDel="00000000" w:rsidP="00000000" w:rsidRDefault="00000000" w:rsidRPr="00000000" w14:paraId="00000021">
      <w:pPr>
        <w:spacing w:line="276"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pStyle w:val="Heading2"/>
        <w:rPr>
          <w:rFonts w:ascii="Calibri" w:cs="Calibri" w:eastAsia="Calibri" w:hAnsi="Calibri"/>
          <w:sz w:val="22"/>
          <w:szCs w:val="22"/>
        </w:rPr>
      </w:pPr>
      <w:r w:rsidDel="00000000" w:rsidR="00000000" w:rsidRPr="00000000">
        <w:rPr>
          <w:rtl w:val="0"/>
        </w:rPr>
      </w:r>
    </w:p>
    <w:sectPr>
      <w:headerReference r:id="rId6" w:type="default"/>
      <w:footerReference r:id="rId7" w:type="default"/>
      <w:pgSz w:h="15840" w:w="12240"/>
      <w:pgMar w:bottom="1440" w:top="1440" w:left="1440" w:right="1440" w:header="51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Courier New"/>
  <w:font w:name="Abad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badi" w:cs="Abadi" w:eastAsia="Abadi" w:hAnsi="Abadi"/>
        <w:b w:val="0"/>
        <w:i w:val="1"/>
        <w:smallCaps w:val="0"/>
        <w:strike w:val="0"/>
        <w:color w:val="2f5496"/>
        <w:sz w:val="22"/>
        <w:szCs w:val="22"/>
        <w:u w:val="none"/>
        <w:shd w:fill="auto" w:val="clear"/>
        <w:vertAlign w:val="baseline"/>
      </w:rPr>
    </w:pPr>
    <w:r w:rsidDel="00000000" w:rsidR="00000000" w:rsidRPr="00000000">
      <w:rPr>
        <w:rFonts w:ascii="Abadi" w:cs="Abadi" w:eastAsia="Abadi" w:hAnsi="Abadi"/>
        <w:b w:val="1"/>
        <w:i w:val="0"/>
        <w:smallCaps w:val="0"/>
        <w:strike w:val="0"/>
        <w:color w:val="363636"/>
        <w:sz w:val="32"/>
        <w:szCs w:val="32"/>
        <w:u w:val="none"/>
        <w:shd w:fill="auto" w:val="clear"/>
        <w:vertAlign w:val="baseline"/>
        <w:rtl w:val="0"/>
      </w:rPr>
      <w:t xml:space="preserve">PACIFIC RESILIENCE MEETING</w:t>
      <w:br w:type="textWrapping"/>
    </w:r>
    <w:r w:rsidDel="00000000" w:rsidR="00000000" w:rsidRPr="00000000">
      <w:rPr>
        <w:rFonts w:ascii="Abadi" w:cs="Abadi" w:eastAsia="Abadi" w:hAnsi="Abadi"/>
        <w:b w:val="0"/>
        <w:i w:val="1"/>
        <w:smallCaps w:val="0"/>
        <w:strike w:val="0"/>
        <w:color w:val="2f5496"/>
        <w:sz w:val="24"/>
        <w:szCs w:val="24"/>
        <w:u w:val="none"/>
        <w:shd w:fill="auto" w:val="clear"/>
        <w:vertAlign w:val="baseline"/>
        <w:rtl w:val="0"/>
      </w:rPr>
      <w:t xml:space="preserve">“Youth Futures in a Resilient Pacific”</w:t>
    </w:r>
    <w:r w:rsidDel="00000000" w:rsidR="00000000" w:rsidRPr="00000000">
      <w:rPr>
        <w:rtl w:val="0"/>
      </w:rPr>
    </w:r>
  </w:p>
  <w:p w:rsidR="00000000" w:rsidDel="00000000" w:rsidP="00000000" w:rsidRDefault="00000000" w:rsidRPr="00000000" w14:paraId="00000025">
    <w:pPr>
      <w:tabs>
        <w:tab w:val="center" w:pos="4513"/>
        <w:tab w:val="right" w:pos="9026"/>
      </w:tabs>
      <w:jc w:val="center"/>
      <w:rPr>
        <w:rFonts w:ascii="Abadi" w:cs="Abadi" w:eastAsia="Abadi" w:hAnsi="Abadi"/>
        <w:sz w:val="22"/>
        <w:szCs w:val="22"/>
      </w:rPr>
    </w:pPr>
    <w:r w:rsidDel="00000000" w:rsidR="00000000" w:rsidRPr="00000000">
      <w:rPr>
        <w:rFonts w:ascii="Abadi" w:cs="Abadi" w:eastAsia="Abadi" w:hAnsi="Abadi"/>
        <w:sz w:val="22"/>
        <w:szCs w:val="22"/>
        <w:rtl w:val="0"/>
      </w:rPr>
      <w:t xml:space="preserve">1- 3 May 2018</w:t>
    </w:r>
  </w:p>
  <w:p w:rsidR="00000000" w:rsidDel="00000000" w:rsidP="00000000" w:rsidRDefault="00000000" w:rsidRPr="00000000" w14:paraId="00000026">
    <w:pPr>
      <w:tabs>
        <w:tab w:val="center" w:pos="4513"/>
        <w:tab w:val="right" w:pos="9026"/>
      </w:tabs>
      <w:jc w:val="center"/>
      <w:rPr>
        <w:rFonts w:ascii="Abadi" w:cs="Abadi" w:eastAsia="Abadi" w:hAnsi="Abadi"/>
        <w:sz w:val="22"/>
        <w:szCs w:val="22"/>
      </w:rPr>
    </w:pPr>
    <w:r w:rsidDel="00000000" w:rsidR="00000000" w:rsidRPr="00000000">
      <w:rPr>
        <w:rFonts w:ascii="Abadi" w:cs="Abadi" w:eastAsia="Abadi" w:hAnsi="Abadi"/>
        <w:sz w:val="22"/>
        <w:szCs w:val="22"/>
        <w:rtl w:val="0"/>
      </w:rPr>
      <w:t xml:space="preserve">USP, Suva, Fiji</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badi" w:cs="Abadi" w:eastAsia="Abadi" w:hAnsi="Abadi"/>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